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635B3" w14:textId="3FD1D419" w:rsidR="00107FAE" w:rsidRDefault="00396000" w:rsidP="00421472">
      <w:pPr>
        <w:pStyle w:val="Ttulo1"/>
        <w:rPr>
          <w:lang w:val="es-ES"/>
        </w:rPr>
      </w:pPr>
      <w:r>
        <w:rPr>
          <w:lang w:val="es-ES"/>
        </w:rPr>
        <w:t>Proyecto</w:t>
      </w:r>
      <w:r w:rsidR="00107FAE">
        <w:rPr>
          <w:lang w:val="es-ES"/>
        </w:rPr>
        <w:t xml:space="preserve"> reforma tributaria</w:t>
      </w:r>
      <w:r w:rsidR="00D36189">
        <w:rPr>
          <w:lang w:val="es-ES"/>
        </w:rPr>
        <w:t xml:space="preserve"> 202</w:t>
      </w:r>
      <w:r>
        <w:rPr>
          <w:lang w:val="es-ES"/>
        </w:rPr>
        <w:t>5</w:t>
      </w:r>
      <w:r w:rsidR="00107FAE">
        <w:rPr>
          <w:lang w:val="es-ES"/>
        </w:rPr>
        <w:t xml:space="preserve">: Modificaciones propuestas a las </w:t>
      </w:r>
      <w:r w:rsidR="008B1FAB">
        <w:rPr>
          <w:lang w:val="es-ES"/>
        </w:rPr>
        <w:t>ganancias ocasionales</w:t>
      </w:r>
    </w:p>
    <w:p w14:paraId="3AD6ED91" w14:textId="736F117C" w:rsidR="00107FAE" w:rsidRDefault="0034673F">
      <w:pPr>
        <w:rPr>
          <w:lang w:val="es-ES"/>
        </w:rPr>
      </w:pP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FEBDE8" wp14:editId="3F562D9C">
                <wp:simplePos x="0" y="0"/>
                <wp:positionH relativeFrom="column">
                  <wp:posOffset>14265</wp:posOffset>
                </wp:positionH>
                <wp:positionV relativeFrom="paragraph">
                  <wp:posOffset>148325</wp:posOffset>
                </wp:positionV>
                <wp:extent cx="5578608" cy="1209600"/>
                <wp:effectExtent l="0" t="0" r="9525" b="10160"/>
                <wp:wrapNone/>
                <wp:docPr id="193890043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78608" cy="1209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15429C0" w14:textId="41FEAB5E" w:rsidR="0034673F" w:rsidRPr="0034673F" w:rsidRDefault="0034673F">
                            <w:pPr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 xml:space="preserve">En el proyecto se propone </w:t>
                            </w:r>
                            <w:r w:rsidR="00ED1E20">
                              <w:rPr>
                                <w:lang w:val="es-ES"/>
                              </w:rPr>
                              <w:t>establecer que las ganancias ocasionales por venta de activos fijos se generarían cuando los mismos hayan sido poseídos, ya no por mínimo 2 años, sino por mínimo 4 años antes de su venta. Además, se propone modificar la forma de definir las ganancias ocasionales exentas por herencias y elevar del 20% al 30% la tarifa del impuesto de ganancias ocasionales por loterías, rifas y similares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FEBDE8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1.1pt;margin-top:11.7pt;width:439.25pt;height:95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" fillcolor="white [3201]" strokeweight=".5pt">
                <v:textbox>
                  <w:txbxContent>
                    <w:p w14:paraId="415429C0" w14:textId="41FEAB5E" w:rsidR="0034673F" w:rsidRPr="0034673F" w:rsidRDefault="0034673F">
                      <w:pPr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 xml:space="preserve">En el proyecto se propone </w:t>
                      </w:r>
                      <w:r w:rsidR="00ED1E20">
                        <w:rPr>
                          <w:lang w:val="es-ES"/>
                        </w:rPr>
                        <w:t>establecer que las ganancias ocasionales por venta de activos fijos se generarían cuando los mismos hayan sido poseídos, ya no por mínimo 2 años, sino por mínimo 4 años antes de su venta. Además, se propone modificar la forma de definir las ganancias ocasionales exentas por herencias y elevar del 20% al 30% la tarifa del impuesto de ganancias ocasionales por loterías, rifas y similares</w:t>
                      </w:r>
                    </w:p>
                  </w:txbxContent>
                </v:textbox>
              </v:shape>
            </w:pict>
          </mc:Fallback>
        </mc:AlternateContent>
      </w:r>
    </w:p>
    <w:p w14:paraId="45DF854D" w14:textId="77777777" w:rsidR="0034673F" w:rsidRDefault="0034673F">
      <w:pPr>
        <w:rPr>
          <w:lang w:val="es-ES"/>
        </w:rPr>
      </w:pPr>
    </w:p>
    <w:p w14:paraId="30F40402" w14:textId="77777777" w:rsidR="0034673F" w:rsidRDefault="0034673F">
      <w:pPr>
        <w:rPr>
          <w:lang w:val="es-ES"/>
        </w:rPr>
      </w:pPr>
    </w:p>
    <w:p w14:paraId="6264AFD6" w14:textId="77777777" w:rsidR="004179A0" w:rsidRDefault="004179A0">
      <w:pPr>
        <w:rPr>
          <w:lang w:val="es-ES"/>
        </w:rPr>
      </w:pPr>
    </w:p>
    <w:p w14:paraId="4EFEF7B2" w14:textId="77777777" w:rsidR="0034673F" w:rsidRDefault="0034673F" w:rsidP="004179A0">
      <w:pPr>
        <w:rPr>
          <w:lang w:val="es-ES"/>
        </w:rPr>
      </w:pPr>
    </w:p>
    <w:p w14:paraId="61B9E5BB" w14:textId="77777777" w:rsidR="0034673F" w:rsidRDefault="0034673F" w:rsidP="004179A0">
      <w:pPr>
        <w:rPr>
          <w:lang w:val="es-ES"/>
        </w:rPr>
      </w:pPr>
    </w:p>
    <w:p w14:paraId="1C3555CF" w14:textId="77777777" w:rsidR="0034673F" w:rsidRDefault="0034673F" w:rsidP="004179A0">
      <w:pPr>
        <w:rPr>
          <w:lang w:val="es-ES"/>
        </w:rPr>
      </w:pPr>
    </w:p>
    <w:p w14:paraId="46565C21" w14:textId="77777777" w:rsidR="0034673F" w:rsidRDefault="0034673F" w:rsidP="004179A0">
      <w:pPr>
        <w:rPr>
          <w:lang w:val="es-ES"/>
        </w:rPr>
      </w:pPr>
    </w:p>
    <w:p w14:paraId="4BBA8E9E" w14:textId="13032AD3" w:rsidR="004179A0" w:rsidRDefault="004179A0" w:rsidP="004179A0">
      <w:pPr>
        <w:rPr>
          <w:lang w:val="es-ES"/>
        </w:rPr>
      </w:pPr>
      <w:r>
        <w:rPr>
          <w:lang w:val="es-ES"/>
        </w:rPr>
        <w:t xml:space="preserve">Entre las múltiples propuestas contenidas en el </w:t>
      </w:r>
      <w:hyperlink r:id="rId5" w:history="1">
        <w:r w:rsidRPr="001F5918">
          <w:rPr>
            <w:rStyle w:val="Hipervnculo"/>
            <w:lang w:val="es-ES"/>
          </w:rPr>
          <w:t xml:space="preserve">nuevo proyecto de reforma tributaria radicado por el Gobierno de Gustavo Petro en el congreso el </w:t>
        </w:r>
        <w:r w:rsidR="00396000">
          <w:rPr>
            <w:rStyle w:val="Hipervnculo"/>
            <w:lang w:val="es-ES"/>
          </w:rPr>
          <w:t>lunes</w:t>
        </w:r>
        <w:r w:rsidRPr="001F5918">
          <w:rPr>
            <w:rStyle w:val="Hipervnculo"/>
            <w:lang w:val="es-ES"/>
          </w:rPr>
          <w:t xml:space="preserve"> </w:t>
        </w:r>
        <w:r w:rsidR="00396000">
          <w:rPr>
            <w:rStyle w:val="Hipervnculo"/>
            <w:lang w:val="es-ES"/>
          </w:rPr>
          <w:t>1</w:t>
        </w:r>
        <w:r w:rsidRPr="001F5918">
          <w:rPr>
            <w:rStyle w:val="Hipervnculo"/>
            <w:lang w:val="es-ES"/>
          </w:rPr>
          <w:t xml:space="preserve"> de septiembre de 202</w:t>
        </w:r>
        <w:r w:rsidR="00396000">
          <w:rPr>
            <w:rStyle w:val="Hipervnculo"/>
            <w:lang w:val="es-ES"/>
          </w:rPr>
          <w:t>5</w:t>
        </w:r>
      </w:hyperlink>
      <w:r>
        <w:rPr>
          <w:lang w:val="es-ES"/>
        </w:rPr>
        <w:t xml:space="preserve"> (y que será tramitado como </w:t>
      </w:r>
      <w:hyperlink r:id="rId6" w:history="1">
        <w:r w:rsidRPr="00396000">
          <w:rPr>
            <w:rStyle w:val="Hipervnculo"/>
            <w:lang w:val="es-ES"/>
          </w:rPr>
          <w:t>un Proyecto de Ley de financiamiento</w:t>
        </w:r>
      </w:hyperlink>
      <w:r>
        <w:rPr>
          <w:lang w:val="es-ES"/>
        </w:rPr>
        <w:t xml:space="preserve"> regulado por el artículo 347 de la Constitución Nacional con miras a conseguir cerca de </w:t>
      </w:r>
      <w:r w:rsidR="00396000">
        <w:rPr>
          <w:lang w:val="es-ES"/>
        </w:rPr>
        <w:t>26</w:t>
      </w:r>
      <w:r>
        <w:rPr>
          <w:lang w:val="es-ES"/>
        </w:rPr>
        <w:t xml:space="preserve"> billones de pesos que permitan cubrir </w:t>
      </w:r>
      <w:hyperlink r:id="rId7" w:history="1">
        <w:r w:rsidRPr="007A0F28">
          <w:rPr>
            <w:rStyle w:val="Hipervnculo"/>
            <w:lang w:val="es-ES"/>
          </w:rPr>
          <w:t>la financiación del presupuesto público de la Nación para el año 202</w:t>
        </w:r>
        <w:r w:rsidR="00396000">
          <w:rPr>
            <w:rStyle w:val="Hipervnculo"/>
            <w:lang w:val="es-ES"/>
          </w:rPr>
          <w:t>6</w:t>
        </w:r>
        <w:r w:rsidRPr="007A0F28">
          <w:rPr>
            <w:rStyle w:val="Hipervnculo"/>
            <w:lang w:val="es-ES"/>
          </w:rPr>
          <w:t xml:space="preserve"> que se empezó a discutir </w:t>
        </w:r>
        <w:r w:rsidR="00786F0C">
          <w:rPr>
            <w:rStyle w:val="Hipervnculo"/>
            <w:lang w:val="es-ES"/>
          </w:rPr>
          <w:t xml:space="preserve">desde julio de 2025 </w:t>
        </w:r>
        <w:r w:rsidRPr="007A0F28">
          <w:rPr>
            <w:rStyle w:val="Hipervnculo"/>
            <w:lang w:val="es-ES"/>
          </w:rPr>
          <w:t>en el congreso</w:t>
        </w:r>
      </w:hyperlink>
      <w:r>
        <w:rPr>
          <w:lang w:val="es-ES"/>
        </w:rPr>
        <w:t xml:space="preserve">), se incluyeron </w:t>
      </w:r>
      <w:r w:rsidR="00786F0C">
        <w:rPr>
          <w:lang w:val="es-ES"/>
        </w:rPr>
        <w:t xml:space="preserve">de nuevo (al mismo estilo de lo que sucedió con el </w:t>
      </w:r>
      <w:hyperlink r:id="rId8" w:history="1">
        <w:r w:rsidR="00786F0C" w:rsidRPr="00786F0C">
          <w:rPr>
            <w:rStyle w:val="Hipervnculo"/>
            <w:lang w:val="es-ES"/>
          </w:rPr>
          <w:t>fracasado proyecto de ley de financiam</w:t>
        </w:r>
        <w:r w:rsidR="001D56DF">
          <w:rPr>
            <w:rStyle w:val="Hipervnculo"/>
            <w:lang w:val="es-ES"/>
          </w:rPr>
          <w:t>i</w:t>
        </w:r>
        <w:r w:rsidR="00786F0C" w:rsidRPr="00786F0C">
          <w:rPr>
            <w:rStyle w:val="Hipervnculo"/>
            <w:lang w:val="es-ES"/>
          </w:rPr>
          <w:t>ento del 2024</w:t>
        </w:r>
      </w:hyperlink>
      <w:r w:rsidR="00786F0C">
        <w:rPr>
          <w:lang w:val="es-ES"/>
        </w:rPr>
        <w:t xml:space="preserve">), </w:t>
      </w:r>
      <w:r>
        <w:rPr>
          <w:lang w:val="es-ES"/>
        </w:rPr>
        <w:t xml:space="preserve">las de modificar </w:t>
      </w:r>
      <w:r w:rsidR="00ED1E20">
        <w:rPr>
          <w:lang w:val="es-ES"/>
        </w:rPr>
        <w:t>varios de los artículos que regulan el impuesto nacional de ganancias ocasionales.</w:t>
      </w:r>
    </w:p>
    <w:p w14:paraId="4EFE1020" w14:textId="77777777" w:rsidR="004179A0" w:rsidRDefault="004179A0" w:rsidP="004179A0">
      <w:pPr>
        <w:rPr>
          <w:lang w:val="es-ES"/>
        </w:rPr>
      </w:pPr>
    </w:p>
    <w:p w14:paraId="1C17A24F" w14:textId="1637F0DF" w:rsidR="004179A0" w:rsidRDefault="00ED1E20" w:rsidP="004179A0">
      <w:pPr>
        <w:rPr>
          <w:lang w:val="es-ES"/>
        </w:rPr>
      </w:pPr>
      <w:r>
        <w:rPr>
          <w:lang w:val="es-ES"/>
        </w:rPr>
        <w:t>En esta ocasión se pretenden modificar los artículos 300, 307 y 317 de la siguiente manera</w:t>
      </w:r>
      <w:r w:rsidR="004179A0">
        <w:rPr>
          <w:lang w:val="es-ES"/>
        </w:rPr>
        <w:t xml:space="preserve"> (los subrayados son nuestros)</w:t>
      </w:r>
    </w:p>
    <w:p w14:paraId="51BA7EEC" w14:textId="77777777" w:rsidR="004179A0" w:rsidRDefault="004179A0" w:rsidP="004179A0">
      <w:pPr>
        <w:rPr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4179A0" w14:paraId="539730DE" w14:textId="77777777" w:rsidTr="00FD286E">
        <w:tc>
          <w:tcPr>
            <w:tcW w:w="4414" w:type="dxa"/>
          </w:tcPr>
          <w:p w14:paraId="7AA415D9" w14:textId="77777777" w:rsidR="004179A0" w:rsidRPr="00304313" w:rsidRDefault="004179A0" w:rsidP="00FD286E">
            <w:pPr>
              <w:jc w:val="center"/>
              <w:rPr>
                <w:i/>
                <w:iCs/>
                <w:color w:val="000000" w:themeColor="text1"/>
                <w:lang w:val="es-ES"/>
              </w:rPr>
            </w:pPr>
            <w:r w:rsidRPr="00304313">
              <w:rPr>
                <w:i/>
                <w:iCs/>
                <w:color w:val="000000" w:themeColor="text1"/>
                <w:lang w:val="es-ES"/>
              </w:rPr>
              <w:t>Versión actual de la norma</w:t>
            </w:r>
          </w:p>
        </w:tc>
        <w:tc>
          <w:tcPr>
            <w:tcW w:w="4414" w:type="dxa"/>
          </w:tcPr>
          <w:p w14:paraId="03E7182D" w14:textId="77777777" w:rsidR="004179A0" w:rsidRPr="00304313" w:rsidRDefault="004179A0" w:rsidP="00FD286E">
            <w:pPr>
              <w:jc w:val="center"/>
              <w:rPr>
                <w:i/>
                <w:iCs/>
                <w:color w:val="000000" w:themeColor="text1"/>
                <w:lang w:val="es-ES"/>
              </w:rPr>
            </w:pPr>
            <w:r w:rsidRPr="00304313">
              <w:rPr>
                <w:i/>
                <w:iCs/>
                <w:color w:val="000000" w:themeColor="text1"/>
                <w:lang w:val="es-ES"/>
              </w:rPr>
              <w:t>Nueva versión con que quedaría la norma si se aprueba la proposición del proyecto de Ley</w:t>
            </w:r>
          </w:p>
        </w:tc>
      </w:tr>
      <w:tr w:rsidR="00AA6FBE" w14:paraId="6448A409" w14:textId="77777777" w:rsidTr="00FD286E">
        <w:tc>
          <w:tcPr>
            <w:tcW w:w="4414" w:type="dxa"/>
          </w:tcPr>
          <w:p w14:paraId="64724EA7" w14:textId="64F4A3B1" w:rsidR="00AA6FBE" w:rsidRPr="00AA6FBE" w:rsidRDefault="00AA6FBE" w:rsidP="00AA6FBE">
            <w:pPr>
              <w:jc w:val="both"/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</w:pPr>
            <w:bookmarkStart w:id="0" w:name="300"/>
            <w:r w:rsidRPr="00AA6FBE">
              <w:rPr>
                <w:rFonts w:ascii="Cambria" w:hAnsi="Cambria"/>
                <w:b/>
                <w:bCs/>
                <w:i/>
                <w:iCs/>
                <w:color w:val="0070C0"/>
                <w:sz w:val="16"/>
                <w:szCs w:val="16"/>
              </w:rPr>
              <w:t>“</w:t>
            </w:r>
            <w:r w:rsidRPr="00AA6FBE">
              <w:rPr>
                <w:rFonts w:ascii="Cambria" w:hAnsi="Cambria"/>
                <w:b/>
                <w:bCs/>
                <w:i/>
                <w:iCs/>
                <w:color w:val="0070C0"/>
                <w:sz w:val="16"/>
                <w:szCs w:val="16"/>
              </w:rPr>
              <w:t>Articulo 300. Se determina por la diferencia entre el precio de enajenación y el costo fiscal del activo</w:t>
            </w:r>
            <w:r w:rsidRPr="00AA6FBE">
              <w:rPr>
                <w:rFonts w:ascii="Cambria" w:hAnsi="Cambria"/>
                <w:i/>
                <w:iCs/>
                <w:color w:val="0070C0"/>
                <w:sz w:val="16"/>
                <w:szCs w:val="16"/>
                <w:u w:val="single"/>
              </w:rPr>
              <w:t>.</w:t>
            </w:r>
            <w:bookmarkEnd w:id="0"/>
            <w:r w:rsidRPr="00AA6FBE"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  <w:t xml:space="preserve"> Se consideran ganancias ocasionales para los contribuyentes sujetos a este impuesto, las provenientes de la enajenación de bienes de cualquier naturaleza, que hayan hecho parte del activo fijo del contribuyente por un término de </w:t>
            </w:r>
            <w:r w:rsidRPr="00AA6FBE">
              <w:rPr>
                <w:rFonts w:ascii="Cambria" w:hAnsi="Cambria"/>
                <w:b/>
                <w:bCs/>
                <w:i/>
                <w:iCs/>
                <w:color w:val="0070C0"/>
                <w:sz w:val="16"/>
                <w:szCs w:val="16"/>
                <w:highlight w:val="yellow"/>
                <w:u w:val="single"/>
              </w:rPr>
              <w:t>dos</w:t>
            </w:r>
            <w:r w:rsidRPr="00AA6FBE"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  <w:t xml:space="preserve"> años o más. Su cuantía se determina por la diferencia entre el precio de enajenación y el costo fiscal del activo enajenado.</w:t>
            </w:r>
          </w:p>
          <w:p w14:paraId="10404499" w14:textId="77777777" w:rsidR="00AA6FBE" w:rsidRPr="00AA6FBE" w:rsidRDefault="00AA6FBE" w:rsidP="00AA6FBE">
            <w:pPr>
              <w:jc w:val="both"/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</w:pPr>
          </w:p>
          <w:p w14:paraId="0C945297" w14:textId="77777777" w:rsidR="00AA6FBE" w:rsidRPr="00AA6FBE" w:rsidRDefault="00AA6FBE" w:rsidP="00AA6FBE">
            <w:pPr>
              <w:jc w:val="both"/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</w:pPr>
          </w:p>
          <w:p w14:paraId="31311664" w14:textId="77777777" w:rsidR="00AA6FBE" w:rsidRPr="00AA6FBE" w:rsidRDefault="00AA6FBE" w:rsidP="00AA6FBE">
            <w:pPr>
              <w:jc w:val="both"/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</w:pPr>
            <w:r w:rsidRPr="00AA6FBE"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  <w:t xml:space="preserve">No se considera ganancia ocasional sino renta líquida, la utilidad en la enajenación de bienes que hagan parte del activo fijo del contribuyente y que hubieren sido poseídos por menos de </w:t>
            </w:r>
            <w:r w:rsidRPr="00AA6FBE">
              <w:rPr>
                <w:rFonts w:ascii="Cambria" w:hAnsi="Cambria"/>
                <w:b/>
                <w:bCs/>
                <w:i/>
                <w:iCs/>
                <w:color w:val="0070C0"/>
                <w:sz w:val="16"/>
                <w:szCs w:val="16"/>
                <w:highlight w:val="yellow"/>
                <w:u w:val="single"/>
              </w:rPr>
              <w:t>2</w:t>
            </w:r>
            <w:r w:rsidRPr="00AA6FBE"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  <w:t xml:space="preserve"> años.</w:t>
            </w:r>
          </w:p>
          <w:p w14:paraId="4334C242" w14:textId="77777777" w:rsidR="00AA6FBE" w:rsidRPr="00AA6FBE" w:rsidRDefault="00AA6FBE" w:rsidP="00AA6FBE">
            <w:pPr>
              <w:jc w:val="both"/>
              <w:rPr>
                <w:rStyle w:val="baj"/>
                <w:rFonts w:ascii="Cambria" w:hAnsi="Cambria"/>
                <w:b/>
                <w:bCs/>
                <w:i/>
                <w:iCs/>
                <w:color w:val="0070C0"/>
                <w:spacing w:val="2"/>
                <w:sz w:val="16"/>
                <w:szCs w:val="16"/>
              </w:rPr>
            </w:pPr>
          </w:p>
          <w:p w14:paraId="5A0D4633" w14:textId="77777777" w:rsidR="00AA6FBE" w:rsidRPr="00AA6FBE" w:rsidRDefault="00AA6FBE" w:rsidP="00AA6FBE">
            <w:pPr>
              <w:jc w:val="both"/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</w:pPr>
            <w:r w:rsidRPr="00AA6FBE">
              <w:rPr>
                <w:rStyle w:val="baj"/>
                <w:rFonts w:ascii="Cambria" w:hAnsi="Cambria"/>
                <w:b/>
                <w:bCs/>
                <w:i/>
                <w:iCs/>
                <w:color w:val="0070C0"/>
                <w:spacing w:val="2"/>
                <w:sz w:val="16"/>
                <w:szCs w:val="16"/>
              </w:rPr>
              <w:t>PARAGRAFO.</w:t>
            </w:r>
            <w:r w:rsidRPr="00AA6FBE"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  <w:t> Para determinar el costo fiscal de los activos enajenados a que se refiere este artículo, se aplicarán las normas contempladas en lo pertinente, en el Título I del presente Libro.</w:t>
            </w:r>
          </w:p>
          <w:p w14:paraId="01C30135" w14:textId="77777777" w:rsidR="00AA6FBE" w:rsidRPr="00AA6FBE" w:rsidRDefault="00AA6FBE" w:rsidP="00AA6FBE">
            <w:pPr>
              <w:jc w:val="both"/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</w:pPr>
          </w:p>
          <w:p w14:paraId="4A4B05C4" w14:textId="77777777" w:rsidR="00AA6FBE" w:rsidRPr="00AA6FBE" w:rsidRDefault="00AA6FBE" w:rsidP="00AA6FBE">
            <w:pPr>
              <w:jc w:val="both"/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</w:pPr>
            <w:r w:rsidRPr="00AA6FBE">
              <w:rPr>
                <w:rStyle w:val="baj"/>
                <w:rFonts w:ascii="Cambria" w:hAnsi="Cambria"/>
                <w:b/>
                <w:bCs/>
                <w:i/>
                <w:iCs/>
                <w:color w:val="0070C0"/>
                <w:spacing w:val="2"/>
                <w:sz w:val="16"/>
                <w:szCs w:val="16"/>
              </w:rPr>
              <w:lastRenderedPageBreak/>
              <w:t>PARÁGRAFO 2o.</w:t>
            </w:r>
            <w:r w:rsidRPr="00AA6FBE"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  <w:t xml:space="preserve">  No se considera activo fijo, aquellos bienes que el contribuyente enajena en el giro ordinario de su negocio. A aquellos activos movibles que hubieren sido poseídos por el contribuyente por más </w:t>
            </w:r>
            <w:r w:rsidRPr="00AA6FBE">
              <w:rPr>
                <w:rFonts w:ascii="Cambria" w:hAnsi="Cambria"/>
                <w:b/>
                <w:bCs/>
                <w:i/>
                <w:iCs/>
                <w:color w:val="0070C0"/>
                <w:sz w:val="16"/>
                <w:szCs w:val="16"/>
                <w:u w:val="single"/>
              </w:rPr>
              <w:t xml:space="preserve">de </w:t>
            </w:r>
            <w:r w:rsidRPr="00AA6FBE">
              <w:rPr>
                <w:rFonts w:ascii="Cambria" w:hAnsi="Cambria"/>
                <w:b/>
                <w:bCs/>
                <w:i/>
                <w:iCs/>
                <w:color w:val="0070C0"/>
                <w:sz w:val="16"/>
                <w:szCs w:val="16"/>
                <w:highlight w:val="yellow"/>
                <w:u w:val="single"/>
              </w:rPr>
              <w:t>2</w:t>
            </w:r>
            <w:r w:rsidRPr="00AA6FBE">
              <w:rPr>
                <w:rFonts w:ascii="Cambria" w:hAnsi="Cambria"/>
                <w:b/>
                <w:bCs/>
                <w:i/>
                <w:iCs/>
                <w:color w:val="0070C0"/>
                <w:sz w:val="16"/>
                <w:szCs w:val="16"/>
                <w:u w:val="single"/>
              </w:rPr>
              <w:t xml:space="preserve"> años</w:t>
            </w:r>
            <w:r w:rsidRPr="00AA6FBE"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  <w:t xml:space="preserve"> no le serán aplicables las reglas establecidas en este capítulo.</w:t>
            </w:r>
          </w:p>
          <w:p w14:paraId="200EC51A" w14:textId="77777777" w:rsidR="00AA6FBE" w:rsidRPr="00AA6FBE" w:rsidRDefault="00AA6FBE" w:rsidP="00AA6FBE">
            <w:pPr>
              <w:jc w:val="both"/>
              <w:rPr>
                <w:rFonts w:ascii="Cambria" w:hAnsi="Cambria" w:cs="Arial"/>
                <w:i/>
                <w:iCs/>
                <w:color w:val="0070C0"/>
                <w:sz w:val="16"/>
                <w:szCs w:val="16"/>
              </w:rPr>
            </w:pPr>
          </w:p>
        </w:tc>
        <w:tc>
          <w:tcPr>
            <w:tcW w:w="4414" w:type="dxa"/>
          </w:tcPr>
          <w:p w14:paraId="3B2917FB" w14:textId="5438E356" w:rsidR="00AA6FBE" w:rsidRPr="00AA6FBE" w:rsidRDefault="00AA6FBE" w:rsidP="00AA6FBE">
            <w:pPr>
              <w:jc w:val="both"/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</w:pPr>
            <w:r w:rsidRPr="00AA6FBE">
              <w:rPr>
                <w:rFonts w:ascii="Cambria" w:hAnsi="Cambria"/>
                <w:b/>
                <w:bCs/>
                <w:i/>
                <w:iCs/>
                <w:color w:val="0070C0"/>
                <w:sz w:val="16"/>
                <w:szCs w:val="16"/>
              </w:rPr>
              <w:lastRenderedPageBreak/>
              <w:t>“</w:t>
            </w:r>
            <w:r w:rsidRPr="00AA6FBE">
              <w:rPr>
                <w:rFonts w:ascii="Cambria" w:hAnsi="Cambria"/>
                <w:b/>
                <w:bCs/>
                <w:i/>
                <w:iCs/>
                <w:color w:val="0070C0"/>
                <w:sz w:val="16"/>
                <w:szCs w:val="16"/>
              </w:rPr>
              <w:t>Articulo 300. Se determina por la diferencia entre el precio de enajenación y el costo fiscal del activo</w:t>
            </w:r>
            <w:r w:rsidRPr="00AA6FBE">
              <w:rPr>
                <w:rFonts w:ascii="Cambria" w:hAnsi="Cambria"/>
                <w:i/>
                <w:iCs/>
                <w:color w:val="0070C0"/>
                <w:sz w:val="16"/>
                <w:szCs w:val="16"/>
                <w:u w:val="single"/>
              </w:rPr>
              <w:t>.</w:t>
            </w:r>
            <w:r w:rsidRPr="00AA6FBE"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  <w:t> </w:t>
            </w:r>
            <w:r w:rsidRPr="00AA6FBE">
              <w:rPr>
                <w:rFonts w:ascii="Cambria" w:hAnsi="Cambria"/>
                <w:i/>
                <w:iCs/>
                <w:color w:val="FF0000"/>
                <w:sz w:val="16"/>
                <w:szCs w:val="16"/>
              </w:rPr>
              <w:t>(</w:t>
            </w:r>
            <w:r w:rsidRPr="00AA6FBE">
              <w:rPr>
                <w:rFonts w:ascii="Cambria" w:hAnsi="Cambria"/>
                <w:i/>
                <w:iCs/>
                <w:color w:val="FF0000"/>
                <w:sz w:val="16"/>
                <w:szCs w:val="16"/>
              </w:rPr>
              <w:t xml:space="preserve">se </w:t>
            </w:r>
            <w:r w:rsidRPr="00AA6FBE">
              <w:rPr>
                <w:rFonts w:ascii="Cambria" w:hAnsi="Cambria"/>
                <w:i/>
                <w:iCs/>
                <w:color w:val="FF0000"/>
                <w:sz w:val="16"/>
                <w:szCs w:val="16"/>
              </w:rPr>
              <w:t>modifica</w:t>
            </w:r>
            <w:r w:rsidRPr="00AA6FBE">
              <w:rPr>
                <w:rFonts w:ascii="Cambria" w:hAnsi="Cambria"/>
                <w:i/>
                <w:iCs/>
                <w:color w:val="FF0000"/>
                <w:sz w:val="16"/>
                <w:szCs w:val="16"/>
              </w:rPr>
              <w:t>ría</w:t>
            </w:r>
            <w:r w:rsidRPr="00AA6FBE">
              <w:rPr>
                <w:rFonts w:ascii="Cambria" w:hAnsi="Cambria"/>
                <w:i/>
                <w:iCs/>
                <w:color w:val="FF0000"/>
                <w:sz w:val="16"/>
                <w:szCs w:val="16"/>
              </w:rPr>
              <w:t xml:space="preserve"> con artículo 20 d</w:t>
            </w:r>
            <w:r w:rsidRPr="00AA6FBE">
              <w:rPr>
                <w:rFonts w:ascii="Cambria" w:hAnsi="Cambria"/>
                <w:i/>
                <w:iCs/>
                <w:color w:val="FF0000"/>
                <w:sz w:val="16"/>
                <w:szCs w:val="16"/>
              </w:rPr>
              <w:t>el proyecto de Ley</w:t>
            </w:r>
            <w:r w:rsidRPr="00AA6FBE">
              <w:rPr>
                <w:rFonts w:ascii="Cambria" w:hAnsi="Cambria"/>
                <w:i/>
                <w:iCs/>
                <w:color w:val="FF0000"/>
                <w:sz w:val="16"/>
                <w:szCs w:val="16"/>
              </w:rPr>
              <w:t>).</w:t>
            </w:r>
            <w:r w:rsidRPr="00AA6FBE"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  <w:t xml:space="preserve"> Se consideran ganancias ocasionales para los contribuyentes sujetos a este impuesto, las provenientes de la enajenación de bienes de cualquier naturaleza, que hayan hecho parte del activo fijo del contribuyente por un término de </w:t>
            </w:r>
            <w:r w:rsidRPr="00AA6FBE">
              <w:rPr>
                <w:rFonts w:ascii="Cambria" w:hAnsi="Cambria"/>
                <w:b/>
                <w:bCs/>
                <w:i/>
                <w:iCs/>
                <w:color w:val="0070C0"/>
                <w:sz w:val="16"/>
                <w:szCs w:val="16"/>
                <w:highlight w:val="yellow"/>
                <w:u w:val="single"/>
              </w:rPr>
              <w:t>cuatro</w:t>
            </w:r>
            <w:r w:rsidRPr="00AA6FBE"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  <w:t xml:space="preserve"> años o más. Su cuantía se determina por la diferencia entre el precio de enajenación y el costo fiscal del activo enajenado.</w:t>
            </w:r>
          </w:p>
          <w:p w14:paraId="3289C19D" w14:textId="77777777" w:rsidR="00AA6FBE" w:rsidRPr="00AA6FBE" w:rsidRDefault="00AA6FBE" w:rsidP="00AA6FBE">
            <w:pPr>
              <w:jc w:val="both"/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</w:pPr>
          </w:p>
          <w:p w14:paraId="69D57E2C" w14:textId="77777777" w:rsidR="00AA6FBE" w:rsidRPr="00AA6FBE" w:rsidRDefault="00AA6FBE" w:rsidP="00AA6FBE">
            <w:pPr>
              <w:jc w:val="both"/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</w:pPr>
            <w:r w:rsidRPr="00AA6FBE"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  <w:t xml:space="preserve">No se considera ganancia ocasional sino renta líquida, la utilidad en la enajenación de bienes que hagan parte del activo fijo del contribuyente y que hubieren sido poseídos por menos de </w:t>
            </w:r>
            <w:r w:rsidRPr="00AA6FBE">
              <w:rPr>
                <w:rFonts w:ascii="Cambria" w:hAnsi="Cambria"/>
                <w:b/>
                <w:bCs/>
                <w:i/>
                <w:iCs/>
                <w:color w:val="0070C0"/>
                <w:sz w:val="16"/>
                <w:szCs w:val="16"/>
                <w:highlight w:val="yellow"/>
                <w:u w:val="single"/>
              </w:rPr>
              <w:t>4</w:t>
            </w:r>
            <w:r w:rsidRPr="00AA6FBE">
              <w:rPr>
                <w:rFonts w:ascii="Cambria" w:hAnsi="Cambria"/>
                <w:b/>
                <w:bCs/>
                <w:i/>
                <w:iCs/>
                <w:color w:val="0070C0"/>
                <w:sz w:val="16"/>
                <w:szCs w:val="16"/>
                <w:u w:val="single"/>
              </w:rPr>
              <w:t xml:space="preserve"> </w:t>
            </w:r>
            <w:r w:rsidRPr="00AA6FBE"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  <w:t>años.</w:t>
            </w:r>
          </w:p>
          <w:p w14:paraId="3E564B88" w14:textId="77777777" w:rsidR="00AA6FBE" w:rsidRPr="00AA6FBE" w:rsidRDefault="00AA6FBE" w:rsidP="00AA6FBE">
            <w:pPr>
              <w:jc w:val="both"/>
              <w:rPr>
                <w:rStyle w:val="baj"/>
                <w:rFonts w:ascii="Cambria" w:hAnsi="Cambria"/>
                <w:b/>
                <w:bCs/>
                <w:i/>
                <w:iCs/>
                <w:color w:val="0070C0"/>
                <w:spacing w:val="2"/>
                <w:sz w:val="16"/>
                <w:szCs w:val="16"/>
              </w:rPr>
            </w:pPr>
          </w:p>
          <w:p w14:paraId="0F9C6951" w14:textId="77777777" w:rsidR="00AA6FBE" w:rsidRPr="00AA6FBE" w:rsidRDefault="00AA6FBE" w:rsidP="00AA6FBE">
            <w:pPr>
              <w:jc w:val="both"/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</w:pPr>
            <w:r w:rsidRPr="00AA6FBE">
              <w:rPr>
                <w:rStyle w:val="baj"/>
                <w:rFonts w:ascii="Cambria" w:hAnsi="Cambria"/>
                <w:b/>
                <w:bCs/>
                <w:i/>
                <w:iCs/>
                <w:color w:val="0070C0"/>
                <w:spacing w:val="2"/>
                <w:sz w:val="16"/>
                <w:szCs w:val="16"/>
              </w:rPr>
              <w:t>PARAGRAFO.</w:t>
            </w:r>
            <w:r w:rsidRPr="00AA6FBE"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  <w:t> Para determinar el costo fiscal de los activos enajenados a que se refiere este artículo, se aplicarán las normas contempladas en lo pertinente, en el Título I del presente Libro.</w:t>
            </w:r>
          </w:p>
          <w:p w14:paraId="2D16F99D" w14:textId="77777777" w:rsidR="00AA6FBE" w:rsidRPr="00AA6FBE" w:rsidRDefault="00AA6FBE" w:rsidP="00AA6FBE">
            <w:pPr>
              <w:jc w:val="both"/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</w:pPr>
          </w:p>
          <w:p w14:paraId="7E80F1C8" w14:textId="77777777" w:rsidR="00AA6FBE" w:rsidRPr="00AA6FBE" w:rsidRDefault="00AA6FBE" w:rsidP="00AA6FBE">
            <w:pPr>
              <w:jc w:val="both"/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</w:pPr>
            <w:r w:rsidRPr="00AA6FBE">
              <w:rPr>
                <w:rStyle w:val="baj"/>
                <w:rFonts w:ascii="Cambria" w:hAnsi="Cambria"/>
                <w:b/>
                <w:bCs/>
                <w:i/>
                <w:iCs/>
                <w:color w:val="0070C0"/>
                <w:spacing w:val="2"/>
                <w:sz w:val="16"/>
                <w:szCs w:val="16"/>
              </w:rPr>
              <w:lastRenderedPageBreak/>
              <w:t>PARÁGRAFO 2o.</w:t>
            </w:r>
            <w:r w:rsidRPr="00AA6FBE"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  <w:t xml:space="preserve">  No se considera activo fijo, aquellos bienes que el contribuyente enajena en el giro ordinario de su negocio. A aquellos activos movibles que hubieren sido poseídos por el contribuyente por más </w:t>
            </w:r>
            <w:r w:rsidRPr="00AA6FBE">
              <w:rPr>
                <w:rFonts w:ascii="Cambria" w:hAnsi="Cambria"/>
                <w:b/>
                <w:bCs/>
                <w:i/>
                <w:iCs/>
                <w:color w:val="0070C0"/>
                <w:sz w:val="16"/>
                <w:szCs w:val="16"/>
                <w:u w:val="single"/>
              </w:rPr>
              <w:t xml:space="preserve">de </w:t>
            </w:r>
            <w:r w:rsidRPr="00AA6FBE">
              <w:rPr>
                <w:rFonts w:ascii="Cambria" w:hAnsi="Cambria"/>
                <w:b/>
                <w:bCs/>
                <w:i/>
                <w:iCs/>
                <w:color w:val="0070C0"/>
                <w:sz w:val="16"/>
                <w:szCs w:val="16"/>
                <w:highlight w:val="yellow"/>
                <w:u w:val="single"/>
              </w:rPr>
              <w:t>4 a</w:t>
            </w:r>
            <w:r w:rsidRPr="00AA6FBE">
              <w:rPr>
                <w:rFonts w:ascii="Cambria" w:hAnsi="Cambria"/>
                <w:b/>
                <w:bCs/>
                <w:i/>
                <w:iCs/>
                <w:color w:val="0070C0"/>
                <w:sz w:val="16"/>
                <w:szCs w:val="16"/>
                <w:u w:val="single"/>
              </w:rPr>
              <w:t>ños no</w:t>
            </w:r>
            <w:r w:rsidRPr="00AA6FBE"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  <w:t xml:space="preserve"> le serán aplicables las reglas establecidas en este capítulo.</w:t>
            </w:r>
          </w:p>
          <w:p w14:paraId="756950AB" w14:textId="77777777" w:rsidR="00AA6FBE" w:rsidRPr="00AA6FBE" w:rsidRDefault="00AA6FBE" w:rsidP="00AA6FBE">
            <w:pPr>
              <w:jc w:val="both"/>
              <w:rPr>
                <w:rFonts w:ascii="Cambria" w:hAnsi="Cambria" w:cs="Arial"/>
                <w:i/>
                <w:iCs/>
                <w:color w:val="0070C0"/>
                <w:sz w:val="16"/>
                <w:szCs w:val="16"/>
              </w:rPr>
            </w:pPr>
          </w:p>
        </w:tc>
      </w:tr>
      <w:tr w:rsidR="00AA6FBE" w14:paraId="1A8C30DF" w14:textId="77777777" w:rsidTr="00FD286E">
        <w:tc>
          <w:tcPr>
            <w:tcW w:w="4414" w:type="dxa"/>
          </w:tcPr>
          <w:p w14:paraId="33C8900D" w14:textId="77777777" w:rsidR="00AA6FBE" w:rsidRPr="00AA6FBE" w:rsidRDefault="00AA6FBE" w:rsidP="00AA6FBE">
            <w:pPr>
              <w:jc w:val="both"/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</w:pPr>
            <w:r w:rsidRPr="00AA6FBE">
              <w:rPr>
                <w:rFonts w:ascii="Cambria" w:hAnsi="Cambria"/>
                <w:b/>
                <w:bCs/>
                <w:i/>
                <w:iCs/>
                <w:color w:val="0070C0"/>
                <w:sz w:val="16"/>
                <w:szCs w:val="16"/>
              </w:rPr>
              <w:lastRenderedPageBreak/>
              <w:t xml:space="preserve">Articulo 307. Ganancias ocasionales exentas </w:t>
            </w:r>
            <w:r w:rsidRPr="00AA6FBE"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  <w:t>Las ganancias ocasionales que se enumeran a continuación están exentas del impuesto a las ganancias ocasionales: </w:t>
            </w:r>
          </w:p>
          <w:p w14:paraId="304B0915" w14:textId="77777777" w:rsidR="00AA6FBE" w:rsidRPr="00AA6FBE" w:rsidRDefault="00AA6FBE" w:rsidP="00AA6FBE">
            <w:pPr>
              <w:jc w:val="both"/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</w:pPr>
          </w:p>
          <w:p w14:paraId="49A8339C" w14:textId="77777777" w:rsidR="00AA6FBE" w:rsidRPr="00AA6FBE" w:rsidRDefault="00AA6FBE" w:rsidP="00AA6FBE">
            <w:pPr>
              <w:jc w:val="both"/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</w:pPr>
          </w:p>
          <w:p w14:paraId="54D0BE5D" w14:textId="77777777" w:rsidR="00AA6FBE" w:rsidRPr="00AA6FBE" w:rsidRDefault="00AA6FBE" w:rsidP="00AA6FBE">
            <w:pPr>
              <w:jc w:val="both"/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</w:pPr>
            <w:r w:rsidRPr="00AA6FBE"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  <w:t xml:space="preserve">1. El equivalente a las </w:t>
            </w:r>
            <w:r w:rsidRPr="00AA6FBE">
              <w:rPr>
                <w:rFonts w:ascii="Cambria" w:hAnsi="Cambria"/>
                <w:b/>
                <w:bCs/>
                <w:i/>
                <w:iCs/>
                <w:color w:val="0070C0"/>
                <w:sz w:val="16"/>
                <w:szCs w:val="16"/>
                <w:highlight w:val="yellow"/>
                <w:u w:val="single"/>
              </w:rPr>
              <w:t>primeras trece mil (13.000) UVT</w:t>
            </w:r>
            <w:r w:rsidRPr="00AA6FBE"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  <w:t xml:space="preserve"> del valor de un inmueble de vivienda de habitación de propiedad del causante. </w:t>
            </w:r>
          </w:p>
          <w:p w14:paraId="6723D5B1" w14:textId="77777777" w:rsidR="00AA6FBE" w:rsidRPr="00AA6FBE" w:rsidRDefault="00AA6FBE" w:rsidP="00AA6FBE">
            <w:pPr>
              <w:jc w:val="both"/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</w:pPr>
          </w:p>
          <w:p w14:paraId="64C9D452" w14:textId="77777777" w:rsidR="00AA6FBE" w:rsidRPr="00AA6FBE" w:rsidRDefault="00AA6FBE" w:rsidP="00AA6FBE">
            <w:pPr>
              <w:jc w:val="both"/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</w:pPr>
          </w:p>
          <w:p w14:paraId="2DE332A5" w14:textId="77777777" w:rsidR="00AA6FBE" w:rsidRPr="00AA6FBE" w:rsidRDefault="00AA6FBE" w:rsidP="00AA6FBE">
            <w:pPr>
              <w:jc w:val="both"/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</w:pPr>
            <w:r w:rsidRPr="00AA6FBE"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  <w:t xml:space="preserve">2. El equivalente a las </w:t>
            </w:r>
            <w:r w:rsidRPr="00AA6FBE">
              <w:rPr>
                <w:rFonts w:ascii="Cambria" w:hAnsi="Cambria"/>
                <w:b/>
                <w:bCs/>
                <w:i/>
                <w:iCs/>
                <w:color w:val="0070C0"/>
                <w:sz w:val="16"/>
                <w:szCs w:val="16"/>
                <w:highlight w:val="yellow"/>
                <w:u w:val="single"/>
              </w:rPr>
              <w:t>primeras seis mil quinientas (6.500) UVT</w:t>
            </w:r>
            <w:r w:rsidRPr="00AA6FBE"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  <w:t xml:space="preserve"> de bienes inmuebles diferentes a la vivienda de habitación de propiedad del causante. </w:t>
            </w:r>
          </w:p>
          <w:p w14:paraId="001AAA27" w14:textId="77777777" w:rsidR="00AA6FBE" w:rsidRPr="00AA6FBE" w:rsidRDefault="00AA6FBE" w:rsidP="00AA6FBE">
            <w:pPr>
              <w:jc w:val="both"/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</w:pPr>
          </w:p>
          <w:p w14:paraId="19FE5537" w14:textId="77777777" w:rsidR="00AA6FBE" w:rsidRPr="00AA6FBE" w:rsidRDefault="00AA6FBE" w:rsidP="00AA6FBE">
            <w:pPr>
              <w:rPr>
                <w:rFonts w:ascii="Arial" w:hAnsi="Arial" w:cs="Arial"/>
                <w:i/>
                <w:iCs/>
                <w:color w:val="0070C0"/>
                <w:sz w:val="18"/>
                <w:szCs w:val="18"/>
              </w:rPr>
            </w:pPr>
          </w:p>
          <w:p w14:paraId="4D17D78D" w14:textId="77777777" w:rsidR="00AA6FBE" w:rsidRPr="00AA6FBE" w:rsidRDefault="00AA6FBE" w:rsidP="00AA6FBE">
            <w:pPr>
              <w:jc w:val="both"/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</w:pPr>
            <w:r w:rsidRPr="00AA6FBE"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  <w:t xml:space="preserve">3. El equivalente a las primeras tres mil doscientas cincuenta (3.250) UVT </w:t>
            </w:r>
            <w:r w:rsidRPr="00AA6FBE">
              <w:rPr>
                <w:rFonts w:ascii="Cambria" w:hAnsi="Cambria"/>
                <w:b/>
                <w:bCs/>
                <w:i/>
                <w:iCs/>
                <w:color w:val="0070C0"/>
                <w:sz w:val="16"/>
                <w:szCs w:val="16"/>
                <w:highlight w:val="yellow"/>
                <w:u w:val="single"/>
              </w:rPr>
              <w:t>del valor de las asignaciones que por concepto de porción conyugal o de herencia o legado reciban el cónyuge supérstite y cada uno de los herederos o legatarios, según el caso</w:t>
            </w:r>
            <w:r w:rsidRPr="00AA6FBE"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  <w:t>. </w:t>
            </w:r>
          </w:p>
          <w:p w14:paraId="26B529C0" w14:textId="77777777" w:rsidR="00AA6FBE" w:rsidRPr="00AA6FBE" w:rsidRDefault="00AA6FBE" w:rsidP="00AA6FBE">
            <w:pPr>
              <w:jc w:val="both"/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</w:pPr>
          </w:p>
          <w:p w14:paraId="0F0F7B87" w14:textId="77777777" w:rsidR="00AA6FBE" w:rsidRPr="00AA6FBE" w:rsidRDefault="00AA6FBE" w:rsidP="00AA6FBE">
            <w:pPr>
              <w:jc w:val="both"/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</w:pPr>
            <w:r w:rsidRPr="00AA6FBE"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  <w:t>4. El 20% del valor de los bienes y derechos recibidos por personas diferentes de los legitimarios y/o el cónyuge supérstite por concepto de herencias y legados, y el 20% de los bienes y derechos recibidos por concepto de donaciones y de otros actos jurídicos inter vivos celebrados a título gratuito, sin que dicha suma supere el equivalente a mil seiscientos veinticinco (1.625) UVT. </w:t>
            </w:r>
          </w:p>
          <w:p w14:paraId="6002962D" w14:textId="77777777" w:rsidR="00AA6FBE" w:rsidRPr="00AA6FBE" w:rsidRDefault="00AA6FBE" w:rsidP="00AA6FBE">
            <w:pPr>
              <w:jc w:val="both"/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</w:pPr>
          </w:p>
          <w:p w14:paraId="5E4815A9" w14:textId="77777777" w:rsidR="00AA6FBE" w:rsidRPr="00AA6FBE" w:rsidRDefault="00AA6FBE" w:rsidP="00AA6FBE">
            <w:pPr>
              <w:jc w:val="both"/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</w:pPr>
          </w:p>
          <w:p w14:paraId="0E73E205" w14:textId="77777777" w:rsidR="00AA6FBE" w:rsidRPr="00AA6FBE" w:rsidRDefault="00AA6FBE" w:rsidP="00AA6FBE">
            <w:pPr>
              <w:jc w:val="both"/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</w:pPr>
            <w:r w:rsidRPr="00AA6FBE"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  <w:t>5. Igualmente están exentos los libros, las ropas y utensilios de uso personal y el mobiliario de la casa del causante. </w:t>
            </w:r>
          </w:p>
          <w:p w14:paraId="0EB28354" w14:textId="77777777" w:rsidR="00AA6FBE" w:rsidRPr="00AA6FBE" w:rsidRDefault="00AA6FBE" w:rsidP="00AA6FBE">
            <w:pPr>
              <w:jc w:val="both"/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</w:pPr>
          </w:p>
          <w:p w14:paraId="756BCC39" w14:textId="77777777" w:rsidR="00AA6FBE" w:rsidRPr="00AA6FBE" w:rsidRDefault="00AA6FBE" w:rsidP="00AA6FBE">
            <w:pPr>
              <w:jc w:val="both"/>
              <w:rPr>
                <w:rFonts w:ascii="Cambria" w:eastAsia="Times New Roman" w:hAnsi="Cambria" w:cstheme="minorHAnsi"/>
                <w:i/>
                <w:iCs/>
                <w:color w:val="0070C0"/>
                <w:sz w:val="16"/>
                <w:szCs w:val="16"/>
                <w:lang w:eastAsia="es-CO"/>
              </w:rPr>
            </w:pPr>
          </w:p>
        </w:tc>
        <w:tc>
          <w:tcPr>
            <w:tcW w:w="4414" w:type="dxa"/>
          </w:tcPr>
          <w:p w14:paraId="7164F91E" w14:textId="61E6AAD1" w:rsidR="00AA6FBE" w:rsidRPr="00AA6FBE" w:rsidRDefault="00AA6FBE" w:rsidP="00AA6FBE">
            <w:pPr>
              <w:jc w:val="both"/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</w:pPr>
            <w:r w:rsidRPr="00AA6FBE">
              <w:rPr>
                <w:rFonts w:ascii="Cambria" w:hAnsi="Cambria"/>
                <w:b/>
                <w:bCs/>
                <w:i/>
                <w:iCs/>
                <w:color w:val="0070C0"/>
                <w:sz w:val="16"/>
                <w:szCs w:val="16"/>
              </w:rPr>
              <w:t xml:space="preserve">Articulo 307. Ganancias ocasionales exentas </w:t>
            </w:r>
            <w:r w:rsidRPr="00AA6FBE">
              <w:rPr>
                <w:rFonts w:ascii="Cambria" w:hAnsi="Cambria"/>
                <w:i/>
                <w:iCs/>
                <w:color w:val="FF0000"/>
                <w:sz w:val="16"/>
                <w:szCs w:val="16"/>
              </w:rPr>
              <w:t>(</w:t>
            </w:r>
            <w:r>
              <w:rPr>
                <w:rFonts w:ascii="Cambria" w:hAnsi="Cambria"/>
                <w:i/>
                <w:iCs/>
                <w:color w:val="FF0000"/>
                <w:sz w:val="16"/>
                <w:szCs w:val="16"/>
              </w:rPr>
              <w:t>se modificaría</w:t>
            </w:r>
            <w:r w:rsidRPr="00AA6FBE">
              <w:rPr>
                <w:rFonts w:ascii="Cambria" w:hAnsi="Cambria"/>
                <w:i/>
                <w:iCs/>
                <w:color w:val="FF0000"/>
                <w:sz w:val="16"/>
                <w:szCs w:val="16"/>
              </w:rPr>
              <w:t xml:space="preserve"> con artículo 21 </w:t>
            </w:r>
            <w:r>
              <w:rPr>
                <w:rFonts w:ascii="Cambria" w:hAnsi="Cambria"/>
                <w:i/>
                <w:iCs/>
                <w:color w:val="FF0000"/>
                <w:sz w:val="16"/>
                <w:szCs w:val="16"/>
              </w:rPr>
              <w:t>del proyecto de Ley</w:t>
            </w:r>
            <w:r w:rsidRPr="00AA6FBE">
              <w:rPr>
                <w:rFonts w:ascii="Cambria" w:hAnsi="Cambria"/>
                <w:i/>
                <w:iCs/>
                <w:color w:val="FF0000"/>
                <w:sz w:val="16"/>
                <w:szCs w:val="16"/>
              </w:rPr>
              <w:t>)</w:t>
            </w:r>
            <w:r w:rsidRPr="00AA6FBE">
              <w:rPr>
                <w:rFonts w:ascii="Cambria" w:hAnsi="Cambria"/>
                <w:b/>
                <w:bCs/>
                <w:i/>
                <w:iCs/>
                <w:color w:val="0070C0"/>
                <w:sz w:val="16"/>
                <w:szCs w:val="16"/>
              </w:rPr>
              <w:t xml:space="preserve"> </w:t>
            </w:r>
            <w:r w:rsidRPr="00AA6FBE"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  <w:t>Las ganancias ocasionales que se enumeran a continuación están exentas del impuesto a las ganancias ocasionales: </w:t>
            </w:r>
          </w:p>
          <w:p w14:paraId="49B5D84D" w14:textId="77777777" w:rsidR="00AA6FBE" w:rsidRPr="00AA6FBE" w:rsidRDefault="00AA6FBE" w:rsidP="00AA6FBE">
            <w:pPr>
              <w:jc w:val="both"/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</w:pPr>
          </w:p>
          <w:p w14:paraId="6037EB18" w14:textId="77777777" w:rsidR="00AA6FBE" w:rsidRPr="00AA6FBE" w:rsidRDefault="00AA6FBE" w:rsidP="00AA6FBE">
            <w:pPr>
              <w:pStyle w:val="Default"/>
              <w:jc w:val="both"/>
              <w:rPr>
                <w:rFonts w:ascii="Cambria" w:hAnsi="Cambria" w:cstheme="minorBidi"/>
                <w:i/>
                <w:iCs/>
                <w:color w:val="0070C0"/>
                <w:kern w:val="2"/>
                <w:sz w:val="16"/>
                <w:szCs w:val="16"/>
              </w:rPr>
            </w:pPr>
            <w:r w:rsidRPr="00AA6FBE"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  <w:t>1</w:t>
            </w:r>
            <w:r w:rsidRPr="00AA6FBE">
              <w:rPr>
                <w:rFonts w:ascii="Cambria" w:hAnsi="Cambria" w:cstheme="minorBidi"/>
                <w:i/>
                <w:iCs/>
                <w:color w:val="0070C0"/>
                <w:kern w:val="2"/>
                <w:sz w:val="16"/>
                <w:szCs w:val="16"/>
              </w:rPr>
              <w:t xml:space="preserve">. El equivalente al valor del inmueble de vivienda de habitación de propiedad del causante </w:t>
            </w:r>
            <w:r w:rsidRPr="00AA6FBE">
              <w:rPr>
                <w:rFonts w:ascii="Cambria" w:hAnsi="Cambria" w:cstheme="minorBidi"/>
                <w:b/>
                <w:bCs/>
                <w:i/>
                <w:iCs/>
                <w:color w:val="0070C0"/>
                <w:kern w:val="2"/>
                <w:sz w:val="16"/>
                <w:szCs w:val="16"/>
                <w:highlight w:val="yellow"/>
                <w:u w:val="single"/>
              </w:rPr>
              <w:t>en un monto que no supere el valor máximo fijado para la Vivienda de Interés Social (VIS) calculado en UVT</w:t>
            </w:r>
            <w:r w:rsidRPr="00AA6FBE">
              <w:rPr>
                <w:rFonts w:ascii="Cambria" w:hAnsi="Cambria" w:cstheme="minorBidi"/>
                <w:i/>
                <w:iCs/>
                <w:color w:val="0070C0"/>
                <w:kern w:val="2"/>
                <w:sz w:val="16"/>
                <w:szCs w:val="16"/>
              </w:rPr>
              <w:t xml:space="preserve">. </w:t>
            </w:r>
          </w:p>
          <w:p w14:paraId="5C42F1DA" w14:textId="77777777" w:rsidR="00AA6FBE" w:rsidRPr="00AA6FBE" w:rsidRDefault="00AA6FBE" w:rsidP="00AA6FBE">
            <w:pPr>
              <w:pStyle w:val="Default"/>
              <w:jc w:val="both"/>
              <w:rPr>
                <w:rFonts w:ascii="Cambria" w:hAnsi="Cambria" w:cstheme="minorBidi"/>
                <w:i/>
                <w:iCs/>
                <w:color w:val="0070C0"/>
                <w:kern w:val="2"/>
                <w:sz w:val="16"/>
                <w:szCs w:val="16"/>
              </w:rPr>
            </w:pPr>
          </w:p>
          <w:p w14:paraId="0F4514E3" w14:textId="77777777" w:rsidR="00AA6FBE" w:rsidRPr="00AA6FBE" w:rsidRDefault="00AA6FBE" w:rsidP="00AA6FBE">
            <w:pPr>
              <w:pStyle w:val="Default"/>
              <w:jc w:val="both"/>
              <w:rPr>
                <w:rFonts w:ascii="Cambria" w:hAnsi="Cambria" w:cstheme="minorBidi"/>
                <w:b/>
                <w:bCs/>
                <w:i/>
                <w:iCs/>
                <w:color w:val="0070C0"/>
                <w:kern w:val="2"/>
                <w:sz w:val="16"/>
                <w:szCs w:val="16"/>
                <w:u w:val="single"/>
              </w:rPr>
            </w:pPr>
            <w:r w:rsidRPr="00AA6FBE">
              <w:rPr>
                <w:rFonts w:ascii="Cambria" w:hAnsi="Cambria" w:cstheme="minorBidi"/>
                <w:i/>
                <w:iCs/>
                <w:color w:val="0070C0"/>
                <w:kern w:val="2"/>
                <w:sz w:val="16"/>
                <w:szCs w:val="16"/>
              </w:rPr>
              <w:t xml:space="preserve">2. El equivalente al valor de bienes inmuebles diferentes a la vivienda de habitación de propiedad del causante </w:t>
            </w:r>
            <w:r w:rsidRPr="00AA6FBE">
              <w:rPr>
                <w:rFonts w:ascii="Cambria" w:hAnsi="Cambria" w:cstheme="minorBidi"/>
                <w:b/>
                <w:bCs/>
                <w:i/>
                <w:iCs/>
                <w:color w:val="0070C0"/>
                <w:kern w:val="2"/>
                <w:sz w:val="16"/>
                <w:szCs w:val="16"/>
                <w:highlight w:val="yellow"/>
                <w:u w:val="single"/>
              </w:rPr>
              <w:t>en un monto que no supere el valor máximo fijado para la Vivienda de Interés Social (VIS) calculado en UVT</w:t>
            </w:r>
            <w:r w:rsidRPr="00AA6FBE">
              <w:rPr>
                <w:rFonts w:ascii="Cambria" w:hAnsi="Cambria" w:cstheme="minorBidi"/>
                <w:b/>
                <w:bCs/>
                <w:i/>
                <w:iCs/>
                <w:color w:val="0070C0"/>
                <w:kern w:val="2"/>
                <w:sz w:val="16"/>
                <w:szCs w:val="16"/>
                <w:u w:val="single"/>
              </w:rPr>
              <w:t xml:space="preserve">. </w:t>
            </w:r>
          </w:p>
          <w:p w14:paraId="683EF006" w14:textId="77777777" w:rsidR="00AA6FBE" w:rsidRPr="00AA6FBE" w:rsidRDefault="00AA6FBE" w:rsidP="00AA6FBE">
            <w:pPr>
              <w:jc w:val="both"/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</w:pPr>
          </w:p>
          <w:p w14:paraId="518B12C9" w14:textId="77777777" w:rsidR="00AA6FBE" w:rsidRPr="00AA6FBE" w:rsidRDefault="00AA6FBE" w:rsidP="00AA6FBE">
            <w:pPr>
              <w:jc w:val="both"/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</w:pPr>
            <w:r w:rsidRPr="00AA6FBE"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  <w:t xml:space="preserve">3. El equivalente a las primeras tres mil doscientas cincuenta (3.250) UVT </w:t>
            </w:r>
            <w:r w:rsidRPr="00AA6FBE">
              <w:rPr>
                <w:rFonts w:ascii="Cambria" w:hAnsi="Cambria"/>
                <w:b/>
                <w:bCs/>
                <w:i/>
                <w:iCs/>
                <w:color w:val="0070C0"/>
                <w:sz w:val="16"/>
                <w:szCs w:val="16"/>
                <w:highlight w:val="yellow"/>
                <w:u w:val="single"/>
              </w:rPr>
              <w:t>de otros activos diferentes a los previstos en los numerales anteriores</w:t>
            </w:r>
            <w:r w:rsidRPr="00AA6FBE"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  <w:t> </w:t>
            </w:r>
          </w:p>
          <w:p w14:paraId="5F5C857B" w14:textId="77777777" w:rsidR="00AA6FBE" w:rsidRPr="00AA6FBE" w:rsidRDefault="00AA6FBE" w:rsidP="00AA6FBE">
            <w:pPr>
              <w:jc w:val="both"/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</w:pPr>
          </w:p>
          <w:p w14:paraId="7B799F10" w14:textId="77777777" w:rsidR="00AA6FBE" w:rsidRPr="00AA6FBE" w:rsidRDefault="00AA6FBE" w:rsidP="00AA6FBE">
            <w:pPr>
              <w:jc w:val="both"/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</w:pPr>
          </w:p>
          <w:p w14:paraId="03D831C9" w14:textId="77777777" w:rsidR="00AA6FBE" w:rsidRPr="00AA6FBE" w:rsidRDefault="00AA6FBE" w:rsidP="00AA6FBE">
            <w:pPr>
              <w:jc w:val="both"/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</w:pPr>
          </w:p>
          <w:p w14:paraId="17FAA0FF" w14:textId="77777777" w:rsidR="00AA6FBE" w:rsidRPr="00AA6FBE" w:rsidRDefault="00AA6FBE" w:rsidP="00AA6FBE">
            <w:pPr>
              <w:jc w:val="both"/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</w:pPr>
            <w:r w:rsidRPr="00AA6FBE"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  <w:t>4. El 20% del valor de los bienes y derechos recibidos por personas diferentes de los legitimarios y/o el cónyuge supérstite por concepto de herencias y legados, y el 20% de los bienes y derechos recibidos por concepto de donaciones y de otros actos jurídicos inter vivos celebrados a título gratuito, sin que dicha suma supere el equivalente a mil seiscientos veinticinco (1.625) UVT. </w:t>
            </w:r>
          </w:p>
          <w:p w14:paraId="04FF1A3A" w14:textId="77777777" w:rsidR="00AA6FBE" w:rsidRPr="00AA6FBE" w:rsidRDefault="00AA6FBE" w:rsidP="00AA6FBE">
            <w:pPr>
              <w:jc w:val="both"/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</w:pPr>
          </w:p>
          <w:p w14:paraId="499DD067" w14:textId="77777777" w:rsidR="00AA6FBE" w:rsidRPr="00AA6FBE" w:rsidRDefault="00AA6FBE" w:rsidP="00AA6FBE">
            <w:pPr>
              <w:jc w:val="both"/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</w:pPr>
          </w:p>
          <w:p w14:paraId="4650D523" w14:textId="77777777" w:rsidR="00AA6FBE" w:rsidRPr="00AA6FBE" w:rsidRDefault="00AA6FBE" w:rsidP="00AA6FBE">
            <w:pPr>
              <w:jc w:val="both"/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</w:pPr>
            <w:r w:rsidRPr="00AA6FBE"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  <w:t>5. Igualmente están exentos los libros, las ropas y utensilios de uso personal y el mobiliario de la casa del causante. </w:t>
            </w:r>
          </w:p>
          <w:p w14:paraId="260D71C3" w14:textId="77777777" w:rsidR="00AA6FBE" w:rsidRPr="00AA6FBE" w:rsidRDefault="00AA6FBE" w:rsidP="00AA6FBE">
            <w:pPr>
              <w:jc w:val="both"/>
              <w:rPr>
                <w:rFonts w:ascii="Cambria" w:hAnsi="Cambria"/>
                <w:i/>
                <w:iCs/>
                <w:color w:val="0070C0"/>
                <w:sz w:val="16"/>
                <w:szCs w:val="16"/>
              </w:rPr>
            </w:pPr>
          </w:p>
          <w:p w14:paraId="3D770874" w14:textId="77777777" w:rsidR="00AA6FBE" w:rsidRPr="00AA6FBE" w:rsidRDefault="00AA6FBE" w:rsidP="00AA6FBE">
            <w:pPr>
              <w:jc w:val="both"/>
              <w:rPr>
                <w:i/>
                <w:iCs/>
                <w:color w:val="0070C0"/>
              </w:rPr>
            </w:pPr>
          </w:p>
        </w:tc>
      </w:tr>
      <w:tr w:rsidR="00AA6FBE" w14:paraId="285EB1DF" w14:textId="77777777" w:rsidTr="00FD286E">
        <w:tc>
          <w:tcPr>
            <w:tcW w:w="4414" w:type="dxa"/>
          </w:tcPr>
          <w:p w14:paraId="60A05A5A" w14:textId="4876B14F" w:rsidR="00AA6FBE" w:rsidRPr="00AA6FBE" w:rsidRDefault="00AA6FBE" w:rsidP="00AA6FBE">
            <w:pPr>
              <w:rPr>
                <w:i/>
                <w:iCs/>
                <w:color w:val="0070C0"/>
                <w:lang w:eastAsia="es-CO"/>
              </w:rPr>
            </w:pPr>
            <w:bookmarkStart w:id="1" w:name="317"/>
            <w:r w:rsidRPr="00AA6FBE">
              <w:rPr>
                <w:rFonts w:ascii="Cambria" w:hAnsi="Cambria"/>
                <w:b/>
                <w:bCs/>
                <w:i/>
                <w:iCs/>
                <w:color w:val="000000" w:themeColor="text1"/>
                <w:sz w:val="16"/>
                <w:szCs w:val="16"/>
                <w:shd w:val="clear" w:color="auto" w:fill="FFFFFF"/>
              </w:rPr>
              <w:t>Articulo 317. Para ganancias ocasionales provenientes de loterías, rifas, apuestas y similares</w:t>
            </w:r>
            <w:r w:rsidRPr="00AA6FBE">
              <w:rPr>
                <w:rFonts w:ascii="Cambria" w:hAnsi="Cambria"/>
                <w:i/>
                <w:iCs/>
                <w:color w:val="00A9E0"/>
                <w:sz w:val="16"/>
                <w:szCs w:val="16"/>
                <w:u w:val="single"/>
                <w:shd w:val="clear" w:color="auto" w:fill="FFFFFF"/>
              </w:rPr>
              <w:t>.</w:t>
            </w:r>
            <w:bookmarkEnd w:id="1"/>
            <w:r w:rsidRPr="00AA6FBE">
              <w:rPr>
                <w:rFonts w:ascii="Cambria" w:hAnsi="Cambria"/>
                <w:i/>
                <w:iCs/>
                <w:sz w:val="16"/>
                <w:szCs w:val="16"/>
                <w:shd w:val="clear" w:color="auto" w:fill="FFFFFF"/>
              </w:rPr>
              <w:t xml:space="preserve">  </w:t>
            </w:r>
            <w:r w:rsidRPr="00AA6FBE">
              <w:rPr>
                <w:rFonts w:ascii="Cambria" w:hAnsi="Cambria"/>
                <w:i/>
                <w:iCs/>
                <w:sz w:val="16"/>
                <w:szCs w:val="16"/>
                <w:shd w:val="clear" w:color="auto" w:fill="FFFFFF"/>
              </w:rPr>
              <w:t>Fijase</w:t>
            </w:r>
            <w:r w:rsidRPr="00AA6FBE">
              <w:rPr>
                <w:rFonts w:ascii="Cambria" w:hAnsi="Cambria"/>
                <w:i/>
                <w:iCs/>
                <w:sz w:val="16"/>
                <w:szCs w:val="16"/>
                <w:shd w:val="clear" w:color="auto" w:fill="FFFFFF"/>
              </w:rPr>
              <w:t xml:space="preserve"> en un </w:t>
            </w:r>
            <w:r w:rsidRPr="00AA6FBE">
              <w:rPr>
                <w:rFonts w:ascii="Cambria" w:hAnsi="Cambria"/>
                <w:b/>
                <w:bCs/>
                <w:i/>
                <w:iCs/>
                <w:sz w:val="16"/>
                <w:szCs w:val="16"/>
                <w:highlight w:val="yellow"/>
                <w:u w:val="single"/>
                <w:shd w:val="clear" w:color="auto" w:fill="FFFFFF"/>
              </w:rPr>
              <w:t>veinte</w:t>
            </w:r>
            <w:r w:rsidRPr="00AA6FBE">
              <w:rPr>
                <w:rFonts w:ascii="Cambria" w:hAnsi="Cambria"/>
                <w:i/>
                <w:iCs/>
                <w:sz w:val="16"/>
                <w:szCs w:val="16"/>
                <w:shd w:val="clear" w:color="auto" w:fill="FFFFFF"/>
              </w:rPr>
              <w:t xml:space="preserve"> por ciento </w:t>
            </w:r>
            <w:r w:rsidRPr="00AA6FBE">
              <w:rPr>
                <w:rFonts w:ascii="Cambria" w:hAnsi="Cambria"/>
                <w:b/>
                <w:bCs/>
                <w:i/>
                <w:iCs/>
                <w:sz w:val="16"/>
                <w:szCs w:val="16"/>
                <w:u w:val="single"/>
                <w:shd w:val="clear" w:color="auto" w:fill="FFFFFF"/>
              </w:rPr>
              <w:t>(</w:t>
            </w:r>
            <w:r w:rsidRPr="00AA6FBE">
              <w:rPr>
                <w:rFonts w:ascii="Cambria" w:hAnsi="Cambria"/>
                <w:b/>
                <w:bCs/>
                <w:i/>
                <w:iCs/>
                <w:sz w:val="16"/>
                <w:szCs w:val="16"/>
                <w:highlight w:val="yellow"/>
                <w:u w:val="single"/>
                <w:shd w:val="clear" w:color="auto" w:fill="FFFFFF"/>
              </w:rPr>
              <w:t>20%),</w:t>
            </w:r>
            <w:r w:rsidRPr="00AA6FBE">
              <w:rPr>
                <w:rFonts w:ascii="Cambria" w:hAnsi="Cambria"/>
                <w:i/>
                <w:iCs/>
                <w:sz w:val="16"/>
                <w:szCs w:val="16"/>
                <w:shd w:val="clear" w:color="auto" w:fill="FFFFFF"/>
              </w:rPr>
              <w:t xml:space="preserve"> la tarifa del impuesto de ganancias ocasionales provenientes de loterías, rifas, apuestas y similares.</w:t>
            </w:r>
          </w:p>
        </w:tc>
        <w:tc>
          <w:tcPr>
            <w:tcW w:w="4414" w:type="dxa"/>
          </w:tcPr>
          <w:p w14:paraId="537DCEBC" w14:textId="2123FE44" w:rsidR="00AA6FBE" w:rsidRPr="00AA6FBE" w:rsidRDefault="00AA6FBE" w:rsidP="00AA6FBE">
            <w:pPr>
              <w:jc w:val="both"/>
              <w:rPr>
                <w:rFonts w:ascii="Cambria" w:hAnsi="Cambria"/>
                <w:i/>
                <w:iCs/>
                <w:sz w:val="16"/>
                <w:szCs w:val="16"/>
                <w:shd w:val="clear" w:color="auto" w:fill="FFFFFF"/>
              </w:rPr>
            </w:pPr>
            <w:r w:rsidRPr="00AA6FBE">
              <w:rPr>
                <w:rFonts w:ascii="Cambria" w:hAnsi="Cambria"/>
                <w:b/>
                <w:bCs/>
                <w:i/>
                <w:iCs/>
                <w:color w:val="000000" w:themeColor="text1"/>
                <w:sz w:val="16"/>
                <w:szCs w:val="16"/>
                <w:shd w:val="clear" w:color="auto" w:fill="FFFFFF"/>
              </w:rPr>
              <w:t>Articulo 317. Para ganancias ocasionales provenientes de loterías, rifas, apuestas y similares (</w:t>
            </w:r>
            <w:r>
              <w:rPr>
                <w:rFonts w:ascii="Cambria" w:hAnsi="Cambria"/>
                <w:i/>
                <w:iCs/>
                <w:color w:val="FF0000"/>
                <w:sz w:val="16"/>
                <w:szCs w:val="16"/>
              </w:rPr>
              <w:t>se m</w:t>
            </w:r>
            <w:r w:rsidRPr="00AA6FBE">
              <w:rPr>
                <w:rFonts w:ascii="Cambria" w:hAnsi="Cambria"/>
                <w:i/>
                <w:iCs/>
                <w:color w:val="FF0000"/>
                <w:sz w:val="16"/>
                <w:szCs w:val="16"/>
              </w:rPr>
              <w:t>odifica</w:t>
            </w:r>
            <w:r>
              <w:rPr>
                <w:rFonts w:ascii="Cambria" w:hAnsi="Cambria"/>
                <w:i/>
                <w:iCs/>
                <w:color w:val="FF0000"/>
                <w:sz w:val="16"/>
                <w:szCs w:val="16"/>
              </w:rPr>
              <w:t>ría</w:t>
            </w:r>
            <w:r w:rsidRPr="00AA6FBE">
              <w:rPr>
                <w:rFonts w:ascii="Cambria" w:hAnsi="Cambria"/>
                <w:i/>
                <w:iCs/>
                <w:color w:val="FF0000"/>
                <w:sz w:val="16"/>
                <w:szCs w:val="16"/>
              </w:rPr>
              <w:t xml:space="preserve"> con artículo 22 d</w:t>
            </w:r>
            <w:r>
              <w:rPr>
                <w:rFonts w:ascii="Cambria" w:hAnsi="Cambria"/>
                <w:i/>
                <w:iCs/>
                <w:color w:val="FF0000"/>
                <w:sz w:val="16"/>
                <w:szCs w:val="16"/>
              </w:rPr>
              <w:t>el proyecto de Ley</w:t>
            </w:r>
            <w:r w:rsidRPr="00AA6FBE">
              <w:rPr>
                <w:rFonts w:ascii="Cambria" w:hAnsi="Cambria"/>
                <w:i/>
                <w:iCs/>
                <w:color w:val="FF0000"/>
                <w:sz w:val="16"/>
                <w:szCs w:val="16"/>
              </w:rPr>
              <w:t>)</w:t>
            </w:r>
            <w:r w:rsidRPr="00AA6FBE">
              <w:rPr>
                <w:rFonts w:ascii="Cambria" w:hAnsi="Cambria"/>
                <w:i/>
                <w:iCs/>
                <w:color w:val="00A9E0"/>
                <w:sz w:val="16"/>
                <w:szCs w:val="16"/>
                <w:u w:val="single"/>
                <w:shd w:val="clear" w:color="auto" w:fill="FFFFFF"/>
              </w:rPr>
              <w:t>.</w:t>
            </w:r>
            <w:r w:rsidRPr="00AA6FBE">
              <w:rPr>
                <w:rFonts w:ascii="Cambria" w:hAnsi="Cambria"/>
                <w:i/>
                <w:iCs/>
                <w:sz w:val="16"/>
                <w:szCs w:val="16"/>
                <w:shd w:val="clear" w:color="auto" w:fill="FFFFFF"/>
              </w:rPr>
              <w:t xml:space="preserve">  </w:t>
            </w:r>
            <w:r w:rsidRPr="00AA6FBE">
              <w:rPr>
                <w:rFonts w:ascii="Cambria" w:hAnsi="Cambria"/>
                <w:i/>
                <w:iCs/>
                <w:sz w:val="16"/>
                <w:szCs w:val="16"/>
                <w:shd w:val="clear" w:color="auto" w:fill="FFFFFF"/>
              </w:rPr>
              <w:t>Fijase</w:t>
            </w:r>
            <w:r w:rsidRPr="00AA6FBE">
              <w:rPr>
                <w:rFonts w:ascii="Cambria" w:hAnsi="Cambria"/>
                <w:i/>
                <w:iCs/>
                <w:sz w:val="16"/>
                <w:szCs w:val="16"/>
                <w:shd w:val="clear" w:color="auto" w:fill="FFFFFF"/>
              </w:rPr>
              <w:t xml:space="preserve"> en un </w:t>
            </w:r>
            <w:r w:rsidRPr="00AA6FBE">
              <w:rPr>
                <w:rFonts w:ascii="Cambria" w:hAnsi="Cambria"/>
                <w:i/>
                <w:iCs/>
                <w:sz w:val="16"/>
                <w:szCs w:val="16"/>
                <w:highlight w:val="yellow"/>
                <w:shd w:val="clear" w:color="auto" w:fill="FFFFFF"/>
              </w:rPr>
              <w:t>treinta</w:t>
            </w:r>
            <w:r w:rsidRPr="00AA6FBE">
              <w:rPr>
                <w:rFonts w:ascii="Cambria" w:hAnsi="Cambria"/>
                <w:i/>
                <w:iCs/>
                <w:sz w:val="16"/>
                <w:szCs w:val="16"/>
                <w:shd w:val="clear" w:color="auto" w:fill="FFFFFF"/>
              </w:rPr>
              <w:t xml:space="preserve"> por ciento (</w:t>
            </w:r>
            <w:r w:rsidRPr="00AA6FBE">
              <w:rPr>
                <w:rFonts w:ascii="Cambria" w:hAnsi="Cambria"/>
                <w:i/>
                <w:iCs/>
                <w:sz w:val="16"/>
                <w:szCs w:val="16"/>
                <w:highlight w:val="yellow"/>
                <w:shd w:val="clear" w:color="auto" w:fill="FFFFFF"/>
              </w:rPr>
              <w:t>30%</w:t>
            </w:r>
            <w:r w:rsidRPr="00AA6FBE">
              <w:rPr>
                <w:rFonts w:ascii="Cambria" w:hAnsi="Cambria"/>
                <w:i/>
                <w:iCs/>
                <w:sz w:val="16"/>
                <w:szCs w:val="16"/>
                <w:shd w:val="clear" w:color="auto" w:fill="FFFFFF"/>
              </w:rPr>
              <w:t>), la tarifa del impuesto de ganancias ocasionales provenientes de loterías, rifas, apuestas y similares.</w:t>
            </w:r>
          </w:p>
          <w:p w14:paraId="60D6B806" w14:textId="77777777" w:rsidR="00AA6FBE" w:rsidRPr="00AA6FBE" w:rsidRDefault="00AA6FBE" w:rsidP="00AA6FBE">
            <w:pPr>
              <w:jc w:val="both"/>
              <w:rPr>
                <w:i/>
                <w:iCs/>
                <w:color w:val="0070C0"/>
              </w:rPr>
            </w:pPr>
          </w:p>
        </w:tc>
      </w:tr>
    </w:tbl>
    <w:p w14:paraId="53DA7CDF" w14:textId="77777777" w:rsidR="004179A0" w:rsidRDefault="004179A0"/>
    <w:p w14:paraId="7FF54E13" w14:textId="3A7CD134" w:rsidR="00F51B56" w:rsidRDefault="00F51B56">
      <w:r>
        <w:t xml:space="preserve">Al respecto, </w:t>
      </w:r>
      <w:hyperlink r:id="rId9" w:history="1">
        <w:r w:rsidR="00263A6B" w:rsidRPr="00263A6B">
          <w:rPr>
            <w:rStyle w:val="Hipervnculo"/>
          </w:rPr>
          <w:t>en las páginas 22 a 26 de la exposición de motivos con la se hizo la presentación del proyecto de Ley en el congreso</w:t>
        </w:r>
      </w:hyperlink>
      <w:r w:rsidR="00263A6B">
        <w:t xml:space="preserve">, se argumentó, como una de las razones para proponer que se aumente la tributación de las ganancias ocasionales, el hecho de que en </w:t>
      </w:r>
      <w:r w:rsidR="00263A6B">
        <w:t>el 5% de los declarantes con mayores ingresos las ganancias ocasionales tienen una representatividad promedio del 7,7%, mientras que en el total de los declarantes dichos recursos representan el 1,3% del total de rentas</w:t>
      </w:r>
    </w:p>
    <w:p w14:paraId="00C131A8" w14:textId="77777777" w:rsidR="00F51B56" w:rsidRDefault="00F51B56"/>
    <w:p w14:paraId="0E9AAC29" w14:textId="52F06636" w:rsidR="00F51B56" w:rsidRDefault="00F51B56">
      <w:r>
        <w:t xml:space="preserve">Por tanto, </w:t>
      </w:r>
      <w:r w:rsidR="00263A6B">
        <w:t>a partir de las modificaciones propuestas al impuesto de ganancias ocasionales es importante destacar lo siguiente</w:t>
      </w:r>
      <w:r>
        <w:t>:</w:t>
      </w:r>
    </w:p>
    <w:p w14:paraId="4FE267CF" w14:textId="09F9AF97" w:rsidR="00390B6C" w:rsidRDefault="00390B6C" w:rsidP="00390B6C">
      <w:pPr>
        <w:pStyle w:val="Prrafodelista"/>
        <w:numPr>
          <w:ilvl w:val="0"/>
          <w:numId w:val="2"/>
        </w:numPr>
      </w:pPr>
      <w:r>
        <w:t xml:space="preserve">La modificación al artículo 300 del ET, proponiendo aumentar de 2 a 4 años el tiempo de permanencia del activo fijo vendido dentro del patrimonio del contribuyente para poder considerar la venta como una ganancia ocasional y no como una renta ordinaria, es algo que afectaría por igual tanto a los contribuyentes </w:t>
      </w:r>
      <w:r>
        <w:lastRenderedPageBreak/>
        <w:t>del régimen ordinario como del régimen simple. Pero puede decirse que los más afectados serían los del régimen simple pues si venden activos fijos poseídos por menos de 4 años en tal caso el ingreso bruto formaría una renta ordinaria que podría generar un alto impuesto simple (recuérdese que en el régimen simple a los ingresos brutos que forman rentas ordinarias no se les permite enfrentar valores por costos o gastos). Además, en el caso de los contribuyentes del régimen ordinario, si la venta de un activo fijo poseído por menos de 4 años se empieza a tomar como renta ordinaria, es claro que el gobierno nacional sí puede terminar siendo muy afectado pues muchas de esas ventas (en especial las de maquinarias y vehículos), se hacen a pérdida (pues el costo supera al ingreso) y dicha perdida terminará rebajando la renta líquida gravable y también impuesto de renta (algo que hasta ahora no sucede pues las pérdidas en las ventas de activos fijos poseídos por más de 4 años se informan por aparte, en la sección de ganancias ocasionales, y no se mezclan con las operaciones que forman rentas ordinarias). Quizás las únicas ventas de activos fijos poseídos por varios años y que se hacen obt</w:t>
      </w:r>
      <w:r w:rsidR="00C44577">
        <w:t>e</w:t>
      </w:r>
      <w:r>
        <w:t xml:space="preserve">niendo una utilidad </w:t>
      </w:r>
      <w:r w:rsidR="00C44577">
        <w:t xml:space="preserve">en la venta </w:t>
      </w:r>
      <w:r>
        <w:t>son justamente las de</w:t>
      </w:r>
      <w:r w:rsidR="00C44577">
        <w:t xml:space="preserve"> los</w:t>
      </w:r>
      <w:r>
        <w:t xml:space="preserve"> </w:t>
      </w:r>
      <w:r w:rsidR="00C44577">
        <w:t xml:space="preserve">bienes raíces y las de las acciones o cuotas poseídas en sociedades y en tal caso, si dicha utilidad se empieza a considerarse como una renta ordinaria porque el activo se poseyó menos de 4 años, entonces el gobierno sí podrá obtener un mayor impuesto de renta. Además, si los bienes </w:t>
      </w:r>
      <w:proofErr w:type="spellStart"/>
      <w:r w:rsidR="00C44577">
        <w:t>ra</w:t>
      </w:r>
      <w:r w:rsidR="004023E1">
        <w:t>ices</w:t>
      </w:r>
      <w:proofErr w:type="spellEnd"/>
      <w:r w:rsidR="00C44577">
        <w:t xml:space="preserve"> y las acciones se llegan a vender con perdida, debe tenerse presente que las normas de los artículos </w:t>
      </w:r>
      <w:hyperlink r:id="rId10" w:anchor="90" w:history="1">
        <w:r w:rsidR="00C44577" w:rsidRPr="004023E1">
          <w:rPr>
            <w:rStyle w:val="Hipervnculo"/>
          </w:rPr>
          <w:t>90</w:t>
        </w:r>
      </w:hyperlink>
      <w:r w:rsidR="00C44577">
        <w:t xml:space="preserve"> y </w:t>
      </w:r>
      <w:hyperlink r:id="rId11" w:anchor="153" w:history="1">
        <w:r w:rsidR="00C44577" w:rsidRPr="004023E1">
          <w:rPr>
            <w:rStyle w:val="Hipervnculo"/>
          </w:rPr>
          <w:t>153</w:t>
        </w:r>
      </w:hyperlink>
      <w:r w:rsidR="00C44577">
        <w:t xml:space="preserve"> del ET indican que dicha pérdida no sería aceptada fiscalmente (lo cual implica que el vendedor tiene que informar un costo limitado hasta el mismo precio de venta)</w:t>
      </w:r>
      <w:r w:rsidR="004023E1">
        <w:t>.</w:t>
      </w:r>
    </w:p>
    <w:p w14:paraId="6EBDA343" w14:textId="02555C57" w:rsidR="004023E1" w:rsidRDefault="004023E1" w:rsidP="004023E1">
      <w:pPr>
        <w:pStyle w:val="Prrafodelista"/>
      </w:pPr>
    </w:p>
    <w:p w14:paraId="705EF410" w14:textId="08C43A9F" w:rsidR="004023E1" w:rsidRDefault="00D4609B" w:rsidP="005C47DB">
      <w:pPr>
        <w:pStyle w:val="Prrafodelista"/>
        <w:numPr>
          <w:ilvl w:val="0"/>
          <w:numId w:val="2"/>
        </w:numPr>
      </w:pPr>
      <w:r>
        <w:t xml:space="preserve">En relación con las modificaciones a los numerales 1 y 2 del artículo 307 del ET, lo que se propone es que los montos de ganancias ocasionales exentas que allí se mencionan (13.000 UVT para el primer numeral, actualmente 13.000 x $49.799=$647.387.000, y 6.500 UVT para el segundo numeral, actualmente unos 6.500 x $49.799=$323.694.000), terminen siendo fuertemente reducidos pues pasarían a quedar fijados en solamente 3.858 UVT (actualmente unos 3.858 x $49.799=$192.172.000). El anterior monto se obtiene al tomar lo que dice la norma del </w:t>
      </w:r>
      <w:hyperlink r:id="rId12" w:anchor="293" w:history="1">
        <w:r w:rsidRPr="00D4609B">
          <w:rPr>
            <w:rStyle w:val="Hipervnculo"/>
          </w:rPr>
          <w:t>artículo 293 de la Ley 2294 de mayo de 2023</w:t>
        </w:r>
      </w:hyperlink>
      <w:r>
        <w:t xml:space="preserve">, en la cual se establece que una vivienda de interés social es la que no supera 135 salarios mínimos mensuales legales vigentes, actualmente 135 x $1.423.500 = $192.172.000, y convertir dicha cifra a UVT ($192.172.000 / </w:t>
      </w:r>
      <w:r w:rsidR="00AE7643">
        <w:t>$49.799 = 3.858 UVT).</w:t>
      </w:r>
    </w:p>
    <w:p w14:paraId="4EAFEEFC" w14:textId="77777777" w:rsidR="00AE7643" w:rsidRDefault="00AE7643" w:rsidP="00AE7643">
      <w:pPr>
        <w:pStyle w:val="Prrafodelista"/>
      </w:pPr>
    </w:p>
    <w:p w14:paraId="19E92E9A" w14:textId="77777777" w:rsidR="007C77D7" w:rsidRDefault="00AE7643" w:rsidP="001D007D">
      <w:pPr>
        <w:pStyle w:val="Prrafodelista"/>
        <w:numPr>
          <w:ilvl w:val="0"/>
          <w:numId w:val="2"/>
        </w:numPr>
      </w:pPr>
      <w:r>
        <w:t>En relación con la modificación al numeral 3 del artículo 307, lo que se propone es modificar la forma en que se calcularían las 3.250 UVT de ganancias ocasionales exentas que allí se mencionan. En efecto, y tomando en cuenta doctrinas de la DIAN como la</w:t>
      </w:r>
      <w:r w:rsidR="00B808D5">
        <w:t xml:space="preserve"> contenida en el </w:t>
      </w:r>
      <w:hyperlink r:id="rId13" w:history="1">
        <w:r w:rsidR="00B808D5" w:rsidRPr="00B808D5">
          <w:rPr>
            <w:rStyle w:val="Hipervnculo"/>
          </w:rPr>
          <w:t>Concepto 49408 de agosto de 2014</w:t>
        </w:r>
      </w:hyperlink>
      <w:r w:rsidR="00B808D5">
        <w:t xml:space="preserve">, el actual beneficio del numeral 3 sí es concurrente con lo establecido en los numerales 1 y 2. Por tanto, al momento de calcular las 3.250 UVT del numeral 3, sí se puede volver a incluir el valor global total de los bienes inmuebles mencionados en los numerales 1 y 2. Sin embargo, con la nueva redacción que se propone para el numeral 3, al </w:t>
      </w:r>
      <w:r w:rsidR="00B808D5">
        <w:lastRenderedPageBreak/>
        <w:t>momento de calcular esas 3.250 UVT ya no se podrían incluir los bienes mencionados en los numerales 1 y 2</w:t>
      </w:r>
    </w:p>
    <w:p w14:paraId="21AD8F55" w14:textId="77777777" w:rsidR="007C77D7" w:rsidRDefault="007C77D7" w:rsidP="007C77D7">
      <w:pPr>
        <w:pStyle w:val="Prrafodelista"/>
      </w:pPr>
    </w:p>
    <w:p w14:paraId="79CFDE58" w14:textId="75F5A8D4" w:rsidR="00390B6C" w:rsidRDefault="007C77D7" w:rsidP="001D007D">
      <w:pPr>
        <w:pStyle w:val="Prrafodelista"/>
        <w:numPr>
          <w:ilvl w:val="0"/>
          <w:numId w:val="2"/>
        </w:numPr>
      </w:pPr>
      <w:r>
        <w:t>Por último, y en relación con la modificación propuesta a la tarifa de la ganancia ocasional por loterías, rifas y similares (la cual pasaría del 20% al 30%), dicha modificación afectaría a todos los contribuyentes del régimen ordinario y del régimen simple</w:t>
      </w:r>
      <w:r w:rsidR="001A7E00">
        <w:t xml:space="preserve"> (sin importar si son residentes o no residentes, o si están o no ubicados en países con los que Colombia tenga actualmente convenios para evitar la doble tributación). Sin embargo, </w:t>
      </w:r>
      <w:r>
        <w:t>no afectaría a los contribuyentes del régimen especial pues dichos contribuyen</w:t>
      </w:r>
      <w:r w:rsidR="001A7E00">
        <w:t>t</w:t>
      </w:r>
      <w:r>
        <w:t>es nunca liquidan impuestos de ganancias ocasionales (ni siquiera cuando ganen algún premio). Dichas entidades del régimen especial deben sumar los valores por premios dentro de las rentas ordinarias y su renta líquida final la pueden incluso tomar como renta exenta (ver</w:t>
      </w:r>
      <w:r w:rsidR="001A7E00">
        <w:t xml:space="preserve"> c</w:t>
      </w:r>
      <w:hyperlink r:id="rId14" w:history="1">
        <w:r w:rsidR="001A7E00" w:rsidRPr="001A7E00">
          <w:rPr>
            <w:rStyle w:val="Hipervnculo"/>
          </w:rPr>
          <w:t>oncepto DIAN 20453 de agosto de 2019</w:t>
        </w:r>
      </w:hyperlink>
      <w:r w:rsidR="001A7E00">
        <w:t xml:space="preserve">). </w:t>
      </w:r>
    </w:p>
    <w:p w14:paraId="5ECB683A" w14:textId="77777777" w:rsidR="00F51B56" w:rsidRDefault="00F51B56"/>
    <w:p w14:paraId="6A85C3FB" w14:textId="77777777" w:rsidR="0034673F" w:rsidRDefault="0034673F" w:rsidP="0034673F">
      <w:pPr>
        <w:pBdr>
          <w:bottom w:val="single" w:sz="12" w:space="1" w:color="auto"/>
        </w:pBdr>
      </w:pPr>
    </w:p>
    <w:p w14:paraId="28BC6C5F" w14:textId="77777777" w:rsidR="0034673F" w:rsidRDefault="0034673F" w:rsidP="0034673F"/>
    <w:p w14:paraId="5F9644F0" w14:textId="77777777" w:rsidR="0034673F" w:rsidRPr="00795625" w:rsidRDefault="0034673F" w:rsidP="00795625"/>
    <w:p w14:paraId="7881AC55" w14:textId="333AD238" w:rsidR="00795625" w:rsidRPr="00795625" w:rsidRDefault="00000000" w:rsidP="00795625">
      <w:hyperlink r:id="rId15" w:history="1">
        <w:r w:rsidR="00795625" w:rsidRPr="00795625">
          <w:rPr>
            <w:rStyle w:val="Hipervnculo"/>
          </w:rPr>
          <w:t>Cuadro temático con las normas afectadas por el proyecto de ley de reforma tributaria (radicado en septiembre 2025)</w:t>
        </w:r>
      </w:hyperlink>
    </w:p>
    <w:p w14:paraId="75919D1B" w14:textId="77777777" w:rsidR="001E55D8" w:rsidRPr="0034673F" w:rsidRDefault="001E55D8" w:rsidP="001E55D8">
      <w:pPr>
        <w:pStyle w:val="Prrafodelista"/>
        <w:rPr>
          <w:lang w:val="es-ES"/>
        </w:rPr>
      </w:pPr>
    </w:p>
    <w:p w14:paraId="6E45130F" w14:textId="77777777" w:rsidR="004F0575" w:rsidRPr="0034673F" w:rsidRDefault="004F0575"/>
    <w:p w14:paraId="6AF92932" w14:textId="77777777" w:rsidR="004F0575" w:rsidRPr="00107FAE" w:rsidRDefault="004F0575">
      <w:pPr>
        <w:rPr>
          <w:lang w:val="es-ES"/>
        </w:rPr>
      </w:pPr>
    </w:p>
    <w:sectPr w:rsidR="004F0575" w:rsidRPr="00107FA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2B3AD2"/>
    <w:multiLevelType w:val="hybridMultilevel"/>
    <w:tmpl w:val="872AF3D2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3C5769"/>
    <w:multiLevelType w:val="hybridMultilevel"/>
    <w:tmpl w:val="F35C93F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9186771">
    <w:abstractNumId w:val="0"/>
  </w:num>
  <w:num w:numId="2" w16cid:durableId="9317411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FAE"/>
    <w:rsid w:val="0004499F"/>
    <w:rsid w:val="0005782B"/>
    <w:rsid w:val="00072155"/>
    <w:rsid w:val="000923F7"/>
    <w:rsid w:val="000D2380"/>
    <w:rsid w:val="000F0A0E"/>
    <w:rsid w:val="00107FAE"/>
    <w:rsid w:val="001531A0"/>
    <w:rsid w:val="001A7E00"/>
    <w:rsid w:val="001B4295"/>
    <w:rsid w:val="001C204B"/>
    <w:rsid w:val="001D56DF"/>
    <w:rsid w:val="001E55D8"/>
    <w:rsid w:val="00206EB9"/>
    <w:rsid w:val="00263A6B"/>
    <w:rsid w:val="00304313"/>
    <w:rsid w:val="00304795"/>
    <w:rsid w:val="003214E2"/>
    <w:rsid w:val="0034673F"/>
    <w:rsid w:val="00390B6C"/>
    <w:rsid w:val="00396000"/>
    <w:rsid w:val="004023E1"/>
    <w:rsid w:val="004179A0"/>
    <w:rsid w:val="00421472"/>
    <w:rsid w:val="004E5AAE"/>
    <w:rsid w:val="004F0575"/>
    <w:rsid w:val="00526D5B"/>
    <w:rsid w:val="00555718"/>
    <w:rsid w:val="0058024F"/>
    <w:rsid w:val="00637C0B"/>
    <w:rsid w:val="006F7927"/>
    <w:rsid w:val="00786F0C"/>
    <w:rsid w:val="00795625"/>
    <w:rsid w:val="007B44CF"/>
    <w:rsid w:val="007C77D7"/>
    <w:rsid w:val="007D7AE7"/>
    <w:rsid w:val="007E335A"/>
    <w:rsid w:val="008266A1"/>
    <w:rsid w:val="008B1FAB"/>
    <w:rsid w:val="009A5EB0"/>
    <w:rsid w:val="009F4F8A"/>
    <w:rsid w:val="00AA6FBE"/>
    <w:rsid w:val="00AE7643"/>
    <w:rsid w:val="00B808D5"/>
    <w:rsid w:val="00C44577"/>
    <w:rsid w:val="00D36189"/>
    <w:rsid w:val="00D4609B"/>
    <w:rsid w:val="00ED1E20"/>
    <w:rsid w:val="00F51B56"/>
    <w:rsid w:val="00F7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B029F"/>
  <w15:chartTrackingRefBased/>
  <w15:docId w15:val="{B6FFCCD0-1EC8-3044-B8F3-9ADBD1BE1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34673F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4179A0"/>
    <w:rPr>
      <w:color w:val="0563C1" w:themeColor="hyperlink"/>
      <w:u w:val="single"/>
    </w:rPr>
  </w:style>
  <w:style w:type="table" w:styleId="Tablaconcuadrcula">
    <w:name w:val="Table Grid"/>
    <w:basedOn w:val="Tablanormal"/>
    <w:uiPriority w:val="59"/>
    <w:rsid w:val="004179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304795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04795"/>
    <w:pPr>
      <w:spacing w:before="100" w:beforeAutospacing="1" w:after="100" w:afterAutospacing="1"/>
    </w:pPr>
    <w:rPr>
      <w:rFonts w:ascii="Times New Roman" w:hAnsi="Times New Roman" w:cs="Times New Roman"/>
      <w:kern w:val="0"/>
      <w:lang w:val="es-ES_tradnl" w:eastAsia="es-ES_tradnl"/>
      <w14:ligatures w14:val="none"/>
    </w:rPr>
  </w:style>
  <w:style w:type="paragraph" w:customStyle="1" w:styleId="Default">
    <w:name w:val="Default"/>
    <w:rsid w:val="00304795"/>
    <w:pPr>
      <w:autoSpaceDE w:val="0"/>
      <w:autoSpaceDN w:val="0"/>
      <w:adjustRightInd w:val="0"/>
    </w:pPr>
    <w:rPr>
      <w:rFonts w:ascii="Arial" w:hAnsi="Arial" w:cs="Arial"/>
      <w:color w:val="000000"/>
      <w:kern w:val="0"/>
      <w14:ligatures w14:val="none"/>
    </w:rPr>
  </w:style>
  <w:style w:type="character" w:customStyle="1" w:styleId="baj">
    <w:name w:val="b_aj"/>
    <w:basedOn w:val="Fuentedeprrafopredeter"/>
    <w:rsid w:val="00304795"/>
  </w:style>
  <w:style w:type="paragraph" w:styleId="Prrafodelista">
    <w:name w:val="List Paragraph"/>
    <w:basedOn w:val="Normal"/>
    <w:uiPriority w:val="34"/>
    <w:qFormat/>
    <w:rsid w:val="00206EB9"/>
    <w:pPr>
      <w:ind w:left="720"/>
      <w:contextualSpacing/>
    </w:pPr>
  </w:style>
  <w:style w:type="character" w:styleId="Hipervnculovisitado">
    <w:name w:val="FollowedHyperlink"/>
    <w:basedOn w:val="Fuentedeprrafopredeter"/>
    <w:uiPriority w:val="99"/>
    <w:semiHidden/>
    <w:unhideWhenUsed/>
    <w:rsid w:val="0034673F"/>
    <w:rPr>
      <w:color w:val="954F72" w:themeColor="followed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34673F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  <w14:ligatures w14:val="none"/>
    </w:rPr>
  </w:style>
  <w:style w:type="character" w:styleId="Refdecomentario">
    <w:name w:val="annotation reference"/>
    <w:basedOn w:val="Fuentedeprrafopredeter"/>
    <w:uiPriority w:val="99"/>
    <w:semiHidden/>
    <w:unhideWhenUsed/>
    <w:rsid w:val="003467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467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4673F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467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4673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2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dn.actualicese.com/normatividad/2024/Proyectos/PL300-Ley-Financiamiento-24.pdf" TargetMode="External"/><Relationship Id="rId13" Type="http://schemas.openxmlformats.org/officeDocument/2006/relationships/hyperlink" Target="https://normograma.dian.gov.co/dian/compilacion/docs/oficio_dian_49408_2014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enado.gov.co/index.php/el-senado/noticias/6706-congreso-inicia-tramite-del-proyecto-para-el-presupuesto-general-de-la-nacion-vigencia-2026" TargetMode="External"/><Relationship Id="rId12" Type="http://schemas.openxmlformats.org/officeDocument/2006/relationships/hyperlink" Target="http://www.secretariasenado.gov.co/senado/basedoc/ley_2294_2023_pr007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minhacienda.gov.co/w/ministro-de-hacienda-presenta-la-ley-de-financiamiento-y-aclara-que-no-afecta-la-canasta-familiar" TargetMode="External"/><Relationship Id="rId11" Type="http://schemas.openxmlformats.org/officeDocument/2006/relationships/hyperlink" Target="https://normograma.dian.gov.co/dian/compilacion/docs/estatuto_tributario.htm" TargetMode="External"/><Relationship Id="rId5" Type="http://schemas.openxmlformats.org/officeDocument/2006/relationships/hyperlink" Target="https://actualicese.com/cuadro-tematico-con-las-normas-afectadas-por-el-proyecto-de-ley-de-reforma-tributaria-radicado-en-septiembre-2025/" TargetMode="External"/><Relationship Id="rId15" Type="http://schemas.openxmlformats.org/officeDocument/2006/relationships/hyperlink" Target="https://actualicese.com/cuadro-tematico-con-las-normas-afectadas-por-el-proyecto-de-ley-de-reforma-tributaria-radicado-en-septiembre-2025/" TargetMode="External"/><Relationship Id="rId10" Type="http://schemas.openxmlformats.org/officeDocument/2006/relationships/hyperlink" Target="https://normograma.dian.gov.co/dian/compilacion/docs/estatuto_tributario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cmineria.com.co/wp-content/uploads/2025/09/01-09-2025-Exposicion-de-motivos-Ley-de-Financiamiento-2025-OAJ-rev-CBeta.pdf" TargetMode="External"/><Relationship Id="rId14" Type="http://schemas.openxmlformats.org/officeDocument/2006/relationships/hyperlink" Target="https://cijuf.org.co/normatividad/oficio/2019/oficio-20453.htm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2010</Words>
  <Characters>11061</Characters>
  <Application>Microsoft Office Word</Application>
  <DocSecurity>0</DocSecurity>
  <Lines>92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guevara</dc:creator>
  <cp:keywords/>
  <dc:description/>
  <cp:lastModifiedBy>diego guevara</cp:lastModifiedBy>
  <cp:revision>8</cp:revision>
  <dcterms:created xsi:type="dcterms:W3CDTF">2025-09-08T20:57:00Z</dcterms:created>
  <dcterms:modified xsi:type="dcterms:W3CDTF">2025-09-09T01:17:00Z</dcterms:modified>
</cp:coreProperties>
</file>